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2AB01C17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B606E6">
        <w:rPr>
          <w:bCs/>
          <w:noProof w:val="0"/>
          <w:sz w:val="24"/>
          <w:szCs w:val="24"/>
        </w:rPr>
        <w:t>5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754745" w:rsidRPr="00754745">
        <w:rPr>
          <w:bCs/>
          <w:noProof w:val="0"/>
          <w:sz w:val="24"/>
          <w:szCs w:val="24"/>
        </w:rPr>
        <w:t>R2-2108592</w:t>
      </w:r>
    </w:p>
    <w:p w14:paraId="11776FA6" w14:textId="48EA8010" w:rsidR="00A209D6" w:rsidRPr="00465587" w:rsidRDefault="009928A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B606E6">
        <w:rPr>
          <w:bCs/>
          <w:sz w:val="24"/>
          <w:szCs w:val="24"/>
          <w:lang w:eastAsia="zh-CN"/>
        </w:rPr>
        <w:t>1</w:t>
      </w:r>
      <w:r w:rsidR="00715412">
        <w:rPr>
          <w:bCs/>
          <w:sz w:val="24"/>
          <w:szCs w:val="24"/>
          <w:lang w:eastAsia="zh-CN"/>
        </w:rPr>
        <w:t>6</w:t>
      </w:r>
      <w:r w:rsidR="006E1057" w:rsidRPr="006E1057">
        <w:rPr>
          <w:bCs/>
          <w:sz w:val="24"/>
          <w:szCs w:val="24"/>
          <w:lang w:eastAsia="zh-CN"/>
        </w:rPr>
        <w:t xml:space="preserve"> – </w:t>
      </w:r>
      <w:r w:rsidR="00715412">
        <w:rPr>
          <w:bCs/>
          <w:sz w:val="24"/>
          <w:szCs w:val="24"/>
          <w:lang w:eastAsia="zh-CN"/>
        </w:rPr>
        <w:t>27</w:t>
      </w:r>
      <w:r w:rsidR="006E1057" w:rsidRPr="006E1057">
        <w:rPr>
          <w:bCs/>
          <w:sz w:val="24"/>
          <w:szCs w:val="24"/>
          <w:lang w:eastAsia="zh-CN"/>
        </w:rPr>
        <w:t xml:space="preserve"> </w:t>
      </w:r>
      <w:r w:rsidR="00B606E6">
        <w:rPr>
          <w:bCs/>
          <w:sz w:val="24"/>
          <w:szCs w:val="24"/>
          <w:lang w:eastAsia="zh-CN"/>
        </w:rPr>
        <w:t>August</w:t>
      </w:r>
      <w:r w:rsidR="006E1057" w:rsidRPr="006E1057">
        <w:rPr>
          <w:bCs/>
          <w:sz w:val="24"/>
          <w:szCs w:val="24"/>
          <w:lang w:eastAsia="zh-CN"/>
        </w:rPr>
        <w:t xml:space="preserve"> 2021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0B1699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330C" w:rsidRPr="000E330C">
        <w:rPr>
          <w:rFonts w:cs="Arial"/>
          <w:b/>
          <w:bCs/>
          <w:sz w:val="24"/>
          <w:lang w:eastAsia="ja-JP"/>
        </w:rPr>
        <w:t>8.9.2.1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8663EA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61FF6" w:rsidRPr="00561FF6">
        <w:rPr>
          <w:rFonts w:ascii="Arial" w:hAnsi="Arial" w:cs="Arial"/>
          <w:b/>
          <w:bCs/>
          <w:sz w:val="24"/>
        </w:rPr>
        <w:t>CN</w:t>
      </w:r>
      <w:r w:rsidR="0012440F">
        <w:rPr>
          <w:rFonts w:ascii="Arial" w:hAnsi="Arial" w:cs="Arial"/>
          <w:b/>
          <w:bCs/>
          <w:sz w:val="24"/>
        </w:rPr>
        <w:t xml:space="preserve"> and </w:t>
      </w:r>
      <w:r w:rsidR="00561FF6" w:rsidRPr="00561FF6">
        <w:rPr>
          <w:rFonts w:ascii="Arial" w:hAnsi="Arial" w:cs="Arial"/>
          <w:b/>
          <w:bCs/>
          <w:sz w:val="24"/>
        </w:rPr>
        <w:t>RAN responsibility splitting</w:t>
      </w:r>
      <w:r w:rsidR="00561FF6">
        <w:rPr>
          <w:rFonts w:ascii="Arial" w:hAnsi="Arial" w:cs="Arial"/>
          <w:b/>
          <w:bCs/>
          <w:sz w:val="24"/>
        </w:rPr>
        <w:t xml:space="preserve"> for </w:t>
      </w:r>
      <w:r w:rsidR="00C26E38">
        <w:rPr>
          <w:rFonts w:ascii="Arial" w:hAnsi="Arial" w:cs="Arial"/>
          <w:b/>
          <w:bCs/>
          <w:sz w:val="24"/>
        </w:rPr>
        <w:t xml:space="preserve">paging </w:t>
      </w:r>
      <w:r w:rsidR="00561FF6">
        <w:rPr>
          <w:rFonts w:ascii="Arial" w:hAnsi="Arial" w:cs="Arial"/>
          <w:b/>
          <w:bCs/>
          <w:sz w:val="24"/>
        </w:rPr>
        <w:t>subgrouping</w:t>
      </w:r>
    </w:p>
    <w:p w14:paraId="1F147C23" w14:textId="77A568E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84C88" w:rsidRPr="00B84C88">
        <w:rPr>
          <w:rFonts w:ascii="Arial" w:hAnsi="Arial" w:cs="Arial"/>
          <w:b/>
          <w:bCs/>
          <w:sz w:val="24"/>
        </w:rPr>
        <w:t xml:space="preserve">NR_UE_pow_sav_enh-Core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B84C88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0640AAA" w14:textId="5D168B4A" w:rsidR="00FA61D2" w:rsidRDefault="00FA61D2" w:rsidP="00FA61D2">
      <w:pPr>
        <w:spacing w:before="120"/>
        <w:jc w:val="both"/>
      </w:pPr>
      <w:r>
        <w:t>The following agreements were made in the RAN2 #113bis-e and RAN2 #114e meetings on paging enhancement</w:t>
      </w:r>
      <w:r w:rsidR="00511FDF">
        <w:t>s</w:t>
      </w:r>
      <w:r>
        <w:t xml:space="preserve"> [1]</w:t>
      </w:r>
      <w:r w:rsidR="00D961D6">
        <w:t xml:space="preserve"> [2]</w:t>
      </w:r>
      <w:r>
        <w:t xml:space="preserve">. </w:t>
      </w:r>
      <w:r w:rsidR="00BF1BF2">
        <w:t>An</w:t>
      </w:r>
      <w:r w:rsidR="00D5214A">
        <w:t xml:space="preserve"> </w:t>
      </w:r>
      <w:r w:rsidR="00BF1BF2">
        <w:t xml:space="preserve">LS </w:t>
      </w:r>
      <w:r w:rsidR="00730875">
        <w:t>was sent</w:t>
      </w:r>
      <w:r w:rsidR="00BF1BF2">
        <w:t xml:space="preserve"> to SA2, RAN3 and CT1 in [3]. </w:t>
      </w:r>
      <w:r w:rsidR="00B80709">
        <w:t>Further details were discussed in post#114e email discussion [076] [</w:t>
      </w:r>
      <w:r w:rsidR="005E6C5E">
        <w:t>4</w:t>
      </w:r>
      <w:r w:rsidR="00B80709"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A61D2" w14:paraId="0F7BB09D" w14:textId="77777777" w:rsidTr="002E5D78">
        <w:tc>
          <w:tcPr>
            <w:tcW w:w="9631" w:type="dxa"/>
          </w:tcPr>
          <w:p w14:paraId="28F9F320" w14:textId="77777777" w:rsidR="00FA61D2" w:rsidRDefault="00FA61D2" w:rsidP="002E5D78">
            <w:pPr>
              <w:pStyle w:val="Agreement"/>
            </w:pPr>
            <w:r>
              <w:t>We adopt Network controlled subgrouping (</w:t>
            </w:r>
            <w:r w:rsidRPr="00DA21F1">
              <w:t>based on individual UE characteristics</w:t>
            </w:r>
            <w:r>
              <w:t>, not specified or limited to paging prob as EUTRA, possibly with additional randomization)</w:t>
            </w:r>
          </w:p>
          <w:p w14:paraId="17F0E486" w14:textId="77777777" w:rsidR="00FA61D2" w:rsidRDefault="00FA61D2" w:rsidP="002E5D78">
            <w:pPr>
              <w:pStyle w:val="Agreement"/>
              <w:jc w:val="both"/>
            </w:pPr>
            <w:r>
              <w:t xml:space="preserve">If the network chooses to not provide specific subgrouping information, there will be configuration option where subgrouping can be supported by randomization (by UE-ID). </w:t>
            </w:r>
          </w:p>
        </w:tc>
      </w:tr>
      <w:tr w:rsidR="00FA61D2" w14:paraId="6A988F16" w14:textId="77777777" w:rsidTr="002E5D78">
        <w:tc>
          <w:tcPr>
            <w:tcW w:w="9631" w:type="dxa"/>
          </w:tcPr>
          <w:p w14:paraId="173338E6" w14:textId="77777777" w:rsidR="00FA61D2" w:rsidRDefault="00FA61D2" w:rsidP="002E5D78">
            <w:pPr>
              <w:pStyle w:val="Agreement"/>
              <w:numPr>
                <w:ilvl w:val="0"/>
                <w:numId w:val="0"/>
              </w:numPr>
              <w:ind w:left="1619" w:hanging="360"/>
            </w:pPr>
            <w:r>
              <w:t>The following is supported:</w:t>
            </w:r>
          </w:p>
          <w:p w14:paraId="231A9C6F" w14:textId="77777777" w:rsidR="00FA61D2" w:rsidRDefault="00FA61D2" w:rsidP="002E5D78">
            <w:pPr>
              <w:pStyle w:val="Agreement"/>
            </w:pPr>
            <w:r>
              <w:t>CN is</w:t>
            </w:r>
            <w:r w:rsidRPr="009E4C33">
              <w:t xml:space="preserve"> responsible for </w:t>
            </w:r>
            <w:r>
              <w:t xml:space="preserve">allocating UEs to </w:t>
            </w:r>
            <w:r w:rsidRPr="009E4C33">
              <w:t>UE paging subgroup</w:t>
            </w:r>
            <w:r>
              <w:t>s</w:t>
            </w:r>
            <w:r w:rsidRPr="009E4C33">
              <w:t xml:space="preserve"> based on UE characteristics</w:t>
            </w:r>
          </w:p>
          <w:p w14:paraId="4EF00FBC" w14:textId="77777777" w:rsidR="00FA61D2" w:rsidRDefault="00FA61D2" w:rsidP="002E5D78">
            <w:pPr>
              <w:pStyle w:val="Agreement"/>
            </w:pPr>
            <w:r>
              <w:rPr>
                <w:lang w:eastAsia="zh-TW"/>
              </w:rPr>
              <w:t>Use same UE subgroups</w:t>
            </w:r>
            <w:r w:rsidRPr="00982A64">
              <w:rPr>
                <w:lang w:eastAsia="zh-TW"/>
              </w:rPr>
              <w:t xml:space="preserve"> wh</w:t>
            </w:r>
            <w:r>
              <w:rPr>
                <w:lang w:eastAsia="zh-TW"/>
              </w:rPr>
              <w:t>en in RRC_IDLE and RRC_INACTIVE</w:t>
            </w:r>
          </w:p>
        </w:tc>
      </w:tr>
    </w:tbl>
    <w:p w14:paraId="79B63F7E" w14:textId="7DB45423" w:rsidR="00FA61D2" w:rsidRDefault="00FA61D2" w:rsidP="00FA61D2">
      <w:pPr>
        <w:spacing w:before="120"/>
        <w:jc w:val="both"/>
      </w:pPr>
      <w:r>
        <w:t>In this contribution, we discuss further details on roles of CN and RAN for subgrouping assignment.</w:t>
      </w:r>
    </w:p>
    <w:p w14:paraId="5FAEB251" w14:textId="77777777" w:rsidR="00FA61D2" w:rsidRPr="006E13D1" w:rsidRDefault="00FA61D2" w:rsidP="00FA61D2">
      <w:pPr>
        <w:pStyle w:val="Heading1"/>
        <w:jc w:val="both"/>
      </w:pPr>
      <w:r w:rsidRPr="006E13D1">
        <w:t>2</w:t>
      </w:r>
      <w:r w:rsidRPr="006E13D1">
        <w:tab/>
      </w:r>
      <w:r>
        <w:t>Discussion</w:t>
      </w:r>
    </w:p>
    <w:p w14:paraId="6B2A20CB" w14:textId="5CCE1B43" w:rsidR="003E1F0D" w:rsidRDefault="00D06904" w:rsidP="003E1F0D">
      <w:pPr>
        <w:spacing w:before="120"/>
        <w:jc w:val="both"/>
      </w:pPr>
      <w:r>
        <w:t>Firstly, we would like to recap how p</w:t>
      </w:r>
      <w:r w:rsidR="00FA61D2">
        <w:t xml:space="preserve">aging probability-based approach </w:t>
      </w:r>
      <w:r>
        <w:t>works</w:t>
      </w:r>
      <w:r w:rsidR="00FA61D2">
        <w:t xml:space="preserve"> for NB-IoT</w:t>
      </w:r>
      <w:r>
        <w:t xml:space="preserve">. </w:t>
      </w:r>
      <w:r w:rsidR="003E1F0D">
        <w:t xml:space="preserve">Figure 1 shows an example signaling flow of the group WUS (GWUS) defined for NB-IoT and eMTC [5] [6]. </w:t>
      </w:r>
    </w:p>
    <w:p w14:paraId="4A38F0AD" w14:textId="77777777" w:rsidR="003E1F0D" w:rsidRDefault="003E1F0D" w:rsidP="003E1F0D">
      <w:pPr>
        <w:spacing w:before="120"/>
        <w:jc w:val="center"/>
      </w:pPr>
      <w:r>
        <w:rPr>
          <w:noProof/>
        </w:rPr>
        <w:drawing>
          <wp:inline distT="0" distB="0" distL="0" distR="0" wp14:anchorId="17A2A557" wp14:editId="55ADAF6E">
            <wp:extent cx="4239491" cy="2114689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0081" cy="211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EA1A" w14:textId="77777777" w:rsidR="003E1F0D" w:rsidRPr="003E2978" w:rsidRDefault="003E1F0D" w:rsidP="003E1F0D">
      <w:pPr>
        <w:spacing w:before="120"/>
        <w:jc w:val="center"/>
        <w:rPr>
          <w:b/>
        </w:rPr>
      </w:pPr>
      <w:r w:rsidRPr="003E2978">
        <w:rPr>
          <w:b/>
        </w:rPr>
        <w:t>Figure 1:</w:t>
      </w:r>
      <w:r>
        <w:rPr>
          <w:b/>
        </w:rPr>
        <w:t xml:space="preserve"> Signaling flow of Group WUS</w:t>
      </w:r>
    </w:p>
    <w:p w14:paraId="2EFD2C1B" w14:textId="77777777" w:rsidR="003E2978" w:rsidRDefault="003E2978" w:rsidP="00FA61D2">
      <w:pPr>
        <w:spacing w:before="120"/>
        <w:jc w:val="both"/>
      </w:pPr>
    </w:p>
    <w:p w14:paraId="13888822" w14:textId="72DE37DF" w:rsidR="00FA61D2" w:rsidRDefault="00824137" w:rsidP="00FA61D2">
      <w:pPr>
        <w:spacing w:before="120"/>
        <w:jc w:val="both"/>
      </w:pPr>
      <w:r>
        <w:lastRenderedPageBreak/>
        <w:t xml:space="preserve">The </w:t>
      </w:r>
      <w:r w:rsidR="00FA61D2" w:rsidRPr="00C97094">
        <w:t>CN and</w:t>
      </w:r>
      <w:r w:rsidR="00D06904">
        <w:t xml:space="preserve"> the</w:t>
      </w:r>
      <w:r w:rsidR="00FA61D2" w:rsidRPr="00C97094">
        <w:t xml:space="preserve"> UE </w:t>
      </w:r>
      <w:r w:rsidR="001D66D2">
        <w:t>negotiates</w:t>
      </w:r>
      <w:r w:rsidR="00FA61D2" w:rsidRPr="00C97094">
        <w:t xml:space="preserve"> </w:t>
      </w:r>
      <w:r w:rsidR="00B80709">
        <w:t>the</w:t>
      </w:r>
      <w:r w:rsidR="001D66D2">
        <w:t xml:space="preserve"> UE’s</w:t>
      </w:r>
      <w:r w:rsidR="00B80709">
        <w:t xml:space="preserve"> </w:t>
      </w:r>
      <w:r w:rsidR="00FA61D2" w:rsidRPr="00C97094">
        <w:t>paging probability</w:t>
      </w:r>
      <w:r w:rsidR="005B48F3">
        <w:t xml:space="preserve"> </w:t>
      </w:r>
      <w:r w:rsidR="003E1F0D">
        <w:t xml:space="preserve">(see steps 2 and 3 in Figure 1) </w:t>
      </w:r>
      <w:r w:rsidR="00724CA1">
        <w:t xml:space="preserve">and CN </w:t>
      </w:r>
      <w:r w:rsidR="00717478">
        <w:t>indicate</w:t>
      </w:r>
      <w:r w:rsidR="003E1F0D">
        <w:t>s</w:t>
      </w:r>
      <w:r w:rsidR="00717478">
        <w:t xml:space="preserve"> it to the eNB when the UE is paged </w:t>
      </w:r>
      <w:r w:rsidR="005B48F3">
        <w:t>(</w:t>
      </w:r>
      <w:r w:rsidR="003E1F0D">
        <w:t>see step 7 in Figure 1)</w:t>
      </w:r>
      <w:r w:rsidR="003E1F0D" w:rsidRPr="003E1F0D">
        <w:t xml:space="preserve"> </w:t>
      </w:r>
      <w:r w:rsidR="003E1F0D">
        <w:t xml:space="preserve">. It is noted that the UE’s </w:t>
      </w:r>
      <w:r w:rsidR="003E1F0D" w:rsidRPr="00C97094">
        <w:t>paging probability</w:t>
      </w:r>
      <w:r w:rsidR="003E1F0D">
        <w:t xml:space="preserve"> indicated by CN can vary </w:t>
      </w:r>
      <w:r w:rsidR="005B48F3">
        <w:t xml:space="preserve">from p0 to p100 with granularity of 5% </w:t>
      </w:r>
      <w:r w:rsidR="00511FDF">
        <w:t xml:space="preserve">as shown below </w:t>
      </w:r>
      <w:r w:rsidR="005B48F3">
        <w:t>[</w:t>
      </w:r>
      <w:r w:rsidR="006E30E8">
        <w:t>5</w:t>
      </w:r>
      <w:r w:rsidR="005B48F3">
        <w:t>]</w:t>
      </w:r>
      <w:r w:rsidR="00820EA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3292" w14:paraId="6BFDFD9D" w14:textId="77777777" w:rsidTr="002E5D78">
        <w:tc>
          <w:tcPr>
            <w:tcW w:w="9631" w:type="dxa"/>
          </w:tcPr>
          <w:p w14:paraId="2C3E408D" w14:textId="77777777" w:rsidR="00723292" w:rsidRPr="00F32326" w:rsidRDefault="00723292" w:rsidP="00505982">
            <w:pPr>
              <w:pStyle w:val="Heading4"/>
            </w:pPr>
            <w:bookmarkStart w:id="0" w:name="_Toc45832003"/>
            <w:bookmarkStart w:id="1" w:name="_Toc51762956"/>
            <w:bookmarkStart w:id="2" w:name="_Toc64382008"/>
            <w:bookmarkStart w:id="3" w:name="_Toc73964526"/>
            <w:r>
              <w:t>9.2.1.158</w:t>
            </w:r>
            <w:r w:rsidRPr="00F32326">
              <w:tab/>
            </w:r>
            <w:r w:rsidRPr="00EB6B1E">
              <w:t>WUS Assistance Information</w:t>
            </w:r>
            <w:bookmarkEnd w:id="0"/>
            <w:bookmarkEnd w:id="1"/>
            <w:bookmarkEnd w:id="2"/>
            <w:bookmarkEnd w:id="3"/>
          </w:p>
          <w:p w14:paraId="6B3F355D" w14:textId="77777777" w:rsidR="00723292" w:rsidRPr="00F32326" w:rsidRDefault="00723292" w:rsidP="002E5D78">
            <w:pPr>
              <w:rPr>
                <w:lang w:eastAsia="zh-CN"/>
              </w:rPr>
            </w:pPr>
            <w:r w:rsidRPr="00F32326">
              <w:t xml:space="preserve">This IE provides </w:t>
            </w:r>
            <w:r w:rsidRPr="00EB6B1E">
              <w:t>WUS Assistance Information</w:t>
            </w:r>
            <w:r>
              <w:t xml:space="preserve"> to be used by eNB for determining the WUS group for the UE</w:t>
            </w:r>
            <w:r w:rsidRPr="00F32326">
              <w:rPr>
                <w:lang w:eastAsia="zh-CN"/>
              </w:rPr>
              <w:t>.</w:t>
            </w:r>
          </w:p>
          <w:tbl>
            <w:tblPr>
              <w:tblW w:w="100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28"/>
              <w:gridCol w:w="1080"/>
              <w:gridCol w:w="1440"/>
              <w:gridCol w:w="3117"/>
              <w:gridCol w:w="2126"/>
            </w:tblGrid>
            <w:tr w:rsidR="00723292" w:rsidRPr="00F32326" w14:paraId="7AB1C015" w14:textId="77777777" w:rsidTr="002E5D78">
              <w:tc>
                <w:tcPr>
                  <w:tcW w:w="2328" w:type="dxa"/>
                </w:tcPr>
                <w:p w14:paraId="72EF304F" w14:textId="77777777" w:rsidR="00723292" w:rsidRPr="00F32326" w:rsidRDefault="00723292" w:rsidP="002E5D78">
                  <w:pPr>
                    <w:pStyle w:val="TAH"/>
                    <w:rPr>
                      <w:lang w:eastAsia="ja-JP"/>
                    </w:rPr>
                  </w:pPr>
                  <w:r w:rsidRPr="00F32326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5D1D4CE5" w14:textId="77777777" w:rsidR="00723292" w:rsidRPr="00F32326" w:rsidRDefault="00723292" w:rsidP="002E5D78">
                  <w:pPr>
                    <w:pStyle w:val="TAH"/>
                    <w:rPr>
                      <w:lang w:eastAsia="ja-JP"/>
                    </w:rPr>
                  </w:pPr>
                  <w:r w:rsidRPr="00F32326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481BD352" w14:textId="77777777" w:rsidR="00723292" w:rsidRPr="00F32326" w:rsidRDefault="00723292" w:rsidP="002E5D78">
                  <w:pPr>
                    <w:pStyle w:val="TAH"/>
                    <w:rPr>
                      <w:lang w:eastAsia="ja-JP"/>
                    </w:rPr>
                  </w:pPr>
                  <w:r w:rsidRPr="00F32326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3117" w:type="dxa"/>
                </w:tcPr>
                <w:p w14:paraId="6E86BA5E" w14:textId="77777777" w:rsidR="00723292" w:rsidRPr="00F32326" w:rsidRDefault="00723292" w:rsidP="002E5D78">
                  <w:pPr>
                    <w:pStyle w:val="TAH"/>
                    <w:rPr>
                      <w:lang w:eastAsia="ja-JP"/>
                    </w:rPr>
                  </w:pPr>
                  <w:r w:rsidRPr="00F32326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126" w:type="dxa"/>
                </w:tcPr>
                <w:p w14:paraId="41A89039" w14:textId="77777777" w:rsidR="00723292" w:rsidRPr="00F32326" w:rsidRDefault="00723292" w:rsidP="002E5D78">
                  <w:pPr>
                    <w:pStyle w:val="TAH"/>
                    <w:rPr>
                      <w:lang w:eastAsia="ja-JP"/>
                    </w:rPr>
                  </w:pPr>
                  <w:r w:rsidRPr="00F32326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723292" w:rsidRPr="00F32326" w14:paraId="7119E192" w14:textId="77777777" w:rsidTr="002E5D78">
              <w:tc>
                <w:tcPr>
                  <w:tcW w:w="2328" w:type="dxa"/>
                </w:tcPr>
                <w:p w14:paraId="1022DC9E" w14:textId="77777777" w:rsidR="00723292" w:rsidRPr="00F32326" w:rsidRDefault="00723292" w:rsidP="002E5D78">
                  <w:pPr>
                    <w:pStyle w:val="TAL"/>
                    <w:rPr>
                      <w:lang w:eastAsia="ja-JP"/>
                    </w:rPr>
                  </w:pPr>
                  <w:r w:rsidRPr="00EB6B1E">
                    <w:rPr>
                      <w:lang w:eastAsia="ja-JP"/>
                    </w:rPr>
                    <w:t>Paging Probability Information</w:t>
                  </w:r>
                </w:p>
              </w:tc>
              <w:tc>
                <w:tcPr>
                  <w:tcW w:w="1080" w:type="dxa"/>
                </w:tcPr>
                <w:p w14:paraId="24765DF6" w14:textId="77777777" w:rsidR="00723292" w:rsidRPr="00F32326" w:rsidRDefault="00723292" w:rsidP="002E5D78">
                  <w:pPr>
                    <w:pStyle w:val="TAL"/>
                    <w:rPr>
                      <w:lang w:eastAsia="ja-JP"/>
                    </w:rPr>
                  </w:pPr>
                  <w:r w:rsidRPr="00F32326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6BFF618F" w14:textId="77777777" w:rsidR="00723292" w:rsidRPr="00F32326" w:rsidRDefault="00723292" w:rsidP="002E5D78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3117" w:type="dxa"/>
                </w:tcPr>
                <w:p w14:paraId="3F4E97D2" w14:textId="77777777" w:rsidR="00723292" w:rsidRPr="00F32326" w:rsidRDefault="00723292" w:rsidP="002E5D78">
                  <w:pPr>
                    <w:pStyle w:val="TAL"/>
                    <w:rPr>
                      <w:snapToGrid w:val="0"/>
                      <w:lang w:eastAsia="ja-JP"/>
                    </w:rPr>
                  </w:pPr>
                  <w:r w:rsidRPr="00A33872">
                    <w:rPr>
                      <w:highlight w:val="yellow"/>
                      <w:lang w:eastAsia="ja-JP"/>
                    </w:rPr>
                    <w:t>ENUMERATED(</w:t>
                  </w:r>
                  <w:r w:rsidRPr="00A33872">
                    <w:rPr>
                      <w:highlight w:val="yellow"/>
                    </w:rPr>
                    <w:t>p00, p05, p10, p15, p20, p25, p30, p35, p40, p45, p50, p55, p60, p65, p70, p75, p80, p85, p90, p95, p100, …)</w:t>
                  </w:r>
                </w:p>
              </w:tc>
              <w:tc>
                <w:tcPr>
                  <w:tcW w:w="2126" w:type="dxa"/>
                </w:tcPr>
                <w:p w14:paraId="45232A48" w14:textId="77777777" w:rsidR="00723292" w:rsidRPr="00F32326" w:rsidRDefault="00723292" w:rsidP="002E5D78">
                  <w:pPr>
                    <w:pStyle w:val="TAL"/>
                    <w:rPr>
                      <w:lang w:eastAsia="ja-JP"/>
                    </w:rPr>
                  </w:pPr>
                  <w:r w:rsidRPr="00EB6B1E">
                    <w:rPr>
                      <w:lang w:eastAsia="ja-JP"/>
                    </w:rPr>
                    <w:t>Unit</w:t>
                  </w:r>
                  <w:r>
                    <w:rPr>
                      <w:lang w:eastAsia="ja-JP"/>
                    </w:rPr>
                    <w:t>: percentage</w:t>
                  </w:r>
                </w:p>
              </w:tc>
            </w:tr>
          </w:tbl>
          <w:p w14:paraId="08EFA0F1" w14:textId="77777777" w:rsidR="00723292" w:rsidRDefault="00723292" w:rsidP="002E5D78">
            <w:pPr>
              <w:spacing w:before="120"/>
              <w:jc w:val="both"/>
            </w:pPr>
          </w:p>
        </w:tc>
      </w:tr>
    </w:tbl>
    <w:p w14:paraId="4D7886D8" w14:textId="0AA491D2" w:rsidR="00723292" w:rsidRDefault="00824137" w:rsidP="00FA61D2">
      <w:pPr>
        <w:spacing w:before="120"/>
        <w:jc w:val="both"/>
      </w:pPr>
      <w:r>
        <w:t>In RAN,</w:t>
      </w:r>
      <w:r w:rsidR="003C029E">
        <w:t xml:space="preserve"> the</w:t>
      </w:r>
      <w:r>
        <w:t xml:space="preserve"> eNB broadcasts paging probability thresholds to split the UEs into different subgroup set</w:t>
      </w:r>
      <w:r w:rsidR="00511FDF">
        <w:t>s</w:t>
      </w:r>
      <w:r>
        <w:t xml:space="preserve"> </w:t>
      </w:r>
      <w:r w:rsidR="003E1F0D">
        <w:t>(see step 6 in figure 1)</w:t>
      </w:r>
      <w:r w:rsidR="00511FDF">
        <w:t>.</w:t>
      </w:r>
      <w:r>
        <w:t xml:space="preserve">  </w:t>
      </w:r>
      <w:r w:rsidR="00511FDF">
        <w:t>Using these thresholds,</w:t>
      </w:r>
      <w:r>
        <w:t xml:space="preserve"> the eNB and </w:t>
      </w:r>
      <w:r w:rsidRPr="00C97094">
        <w:t xml:space="preserve">UE derive the UE’s </w:t>
      </w:r>
      <w:r>
        <w:t xml:space="preserve">subgroup set </w:t>
      </w:r>
      <w:r w:rsidRPr="00C97094">
        <w:t xml:space="preserve">based on the </w:t>
      </w:r>
      <w:r w:rsidR="00511FDF">
        <w:t xml:space="preserve">UE’s </w:t>
      </w:r>
      <w:r w:rsidRPr="00C97094">
        <w:t>paging probability</w:t>
      </w:r>
      <w:r w:rsidR="00511FDF">
        <w:t xml:space="preserve"> as per </w:t>
      </w:r>
      <w:r w:rsidR="00511FDF" w:rsidRPr="003B0FA0">
        <w:t>Table 7.5.2-1</w:t>
      </w:r>
      <w:r w:rsidR="00511FDF">
        <w:t xml:space="preserve"> of [6] (copied below as reference)</w:t>
      </w:r>
      <w:r>
        <w:t>,</w:t>
      </w:r>
      <w:r w:rsidRPr="00C97094">
        <w:t xml:space="preserve"> </w:t>
      </w:r>
      <w:r w:rsidR="00511FDF">
        <w:t>and</w:t>
      </w:r>
      <w:r w:rsidRPr="00C97094">
        <w:t xml:space="preserve"> </w:t>
      </w:r>
      <w:r>
        <w:t xml:space="preserve">then </w:t>
      </w:r>
      <w:r w:rsidR="003C029E">
        <w:t xml:space="preserve">both </w:t>
      </w:r>
      <w:r>
        <w:t>derive the subgrouping</w:t>
      </w:r>
      <w:r w:rsidRPr="00C97094">
        <w:t xml:space="preserve"> </w:t>
      </w:r>
      <w:r>
        <w:t xml:space="preserve">ID within the </w:t>
      </w:r>
      <w:r w:rsidR="00511FDF">
        <w:t xml:space="preserve">subgroup </w:t>
      </w:r>
      <w:r>
        <w:t>set based on</w:t>
      </w:r>
      <w:r w:rsidRPr="00C97094">
        <w:t xml:space="preserve"> the UE ID </w:t>
      </w:r>
      <w:r w:rsidR="003C029E">
        <w:t xml:space="preserve">(to be used in step 8 of Figure 1) </w:t>
      </w:r>
      <w:r w:rsidRPr="00C97094">
        <w:t>[</w:t>
      </w:r>
      <w:r w:rsidR="006E30E8">
        <w:t>6</w:t>
      </w:r>
      <w:r w:rsidRPr="00C97094">
        <w:t>].</w:t>
      </w:r>
      <w:r w:rsidR="00511FD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A61D2" w14:paraId="2395D5CC" w14:textId="77777777" w:rsidTr="002E5D78">
        <w:tc>
          <w:tcPr>
            <w:tcW w:w="9631" w:type="dxa"/>
          </w:tcPr>
          <w:p w14:paraId="77DB35C6" w14:textId="77777777" w:rsidR="00FA61D2" w:rsidRPr="003B0FA0" w:rsidRDefault="00FA61D2" w:rsidP="002E5D78">
            <w:pPr>
              <w:pStyle w:val="TH"/>
            </w:pPr>
            <w:r w:rsidRPr="003B0FA0">
              <w:lastRenderedPageBreak/>
              <w:t xml:space="preserve">Table 7.5.2-1: WUS group set definition when </w:t>
            </w:r>
            <w:r w:rsidRPr="003B0FA0">
              <w:rPr>
                <w:i/>
              </w:rPr>
              <w:t xml:space="preserve">probThreshList </w:t>
            </w:r>
            <w:r w:rsidRPr="003B0FA0">
              <w:t>is configured</w:t>
            </w:r>
          </w:p>
          <w:tbl>
            <w:tblPr>
              <w:tblW w:w="8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413"/>
              <w:gridCol w:w="2977"/>
              <w:gridCol w:w="2126"/>
              <w:gridCol w:w="2126"/>
            </w:tblGrid>
            <w:tr w:rsidR="00FA61D2" w:rsidRPr="003B0FA0" w14:paraId="1CF9CA5F" w14:textId="77777777" w:rsidTr="002E5D78">
              <w:trPr>
                <w:jc w:val="center"/>
              </w:trPr>
              <w:tc>
                <w:tcPr>
                  <w:tcW w:w="14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ADA54" w14:textId="77777777" w:rsidR="00FA61D2" w:rsidRPr="00D87F7C" w:rsidRDefault="00FA61D2" w:rsidP="002E5D78">
                  <w:pPr>
                    <w:pStyle w:val="TAH"/>
                    <w:rPr>
                      <w:highlight w:val="yellow"/>
                    </w:rPr>
                  </w:pPr>
                  <w:r w:rsidRPr="00D87F7C">
                    <w:rPr>
                      <w:highlight w:val="yellow"/>
                    </w:rPr>
                    <w:t>WUS group set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86837C" w14:textId="77777777" w:rsidR="00FA61D2" w:rsidRPr="00A33872" w:rsidRDefault="00FA61D2" w:rsidP="002E5D78">
                  <w:pPr>
                    <w:pStyle w:val="TAH"/>
                    <w:rPr>
                      <w:highlight w:val="yellow"/>
                    </w:rPr>
                  </w:pPr>
                  <w:r w:rsidRPr="00A33872">
                    <w:rPr>
                      <w:szCs w:val="21"/>
                      <w:highlight w:val="yellow"/>
                    </w:rPr>
                    <w:t>probThreshList</w:t>
                  </w:r>
                </w:p>
              </w:tc>
              <w:tc>
                <w:tcPr>
                  <w:tcW w:w="42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6F0403" w14:textId="77777777" w:rsidR="00FA61D2" w:rsidRPr="003B0FA0" w:rsidRDefault="00FA61D2" w:rsidP="002E5D78">
                  <w:pPr>
                    <w:pStyle w:val="TAH"/>
                    <w:rPr>
                      <w:sz w:val="21"/>
                      <w:szCs w:val="24"/>
                    </w:rPr>
                  </w:pPr>
                  <w:r w:rsidRPr="003B0FA0">
                    <w:t>WUS group index in WUS groups list</w:t>
                  </w:r>
                </w:p>
              </w:tc>
            </w:tr>
            <w:tr w:rsidR="00FA61D2" w:rsidRPr="003B0FA0" w14:paraId="52FC1EEC" w14:textId="77777777" w:rsidTr="002E5D78">
              <w:trPr>
                <w:jc w:val="center"/>
              </w:trPr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D56BEA" w14:textId="77777777" w:rsidR="00FA61D2" w:rsidRPr="00D87F7C" w:rsidRDefault="00FA61D2" w:rsidP="002E5D78">
                  <w:pPr>
                    <w:pStyle w:val="TAH"/>
                    <w:rPr>
                      <w:kern w:val="2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9BBD6" w14:textId="77777777" w:rsidR="00FA61D2" w:rsidRPr="00A33872" w:rsidRDefault="00FA61D2" w:rsidP="002E5D78">
                  <w:pPr>
                    <w:pStyle w:val="TAH"/>
                    <w:rPr>
                      <w:kern w:val="2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7D3B0" w14:textId="77777777" w:rsidR="00FA61D2" w:rsidRPr="003B0FA0" w:rsidRDefault="00FA61D2" w:rsidP="002E5D78">
                  <w:pPr>
                    <w:pStyle w:val="TAH"/>
                  </w:pPr>
                  <w:r w:rsidRPr="003B0FA0">
                    <w:t>Lower bound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0E3B2" w14:textId="77777777" w:rsidR="00FA61D2" w:rsidRPr="003B0FA0" w:rsidRDefault="00FA61D2" w:rsidP="002E5D78">
                  <w:pPr>
                    <w:pStyle w:val="TAH"/>
                  </w:pPr>
                  <w:r w:rsidRPr="003B0FA0">
                    <w:t>Upper bound</w:t>
                  </w:r>
                </w:p>
              </w:tc>
            </w:tr>
            <w:tr w:rsidR="00FA61D2" w:rsidRPr="003B0FA0" w14:paraId="7647C938" w14:textId="77777777" w:rsidTr="002E5D78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B15EF" w14:textId="77777777" w:rsidR="00FA61D2" w:rsidRPr="00D87F7C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D87F7C">
                    <w:rPr>
                      <w:highlight w:val="yellow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52F44" w14:textId="77777777" w:rsidR="00FA61D2" w:rsidRPr="00A33872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33872">
                    <w:rPr>
                      <w:highlight w:val="yellow"/>
                    </w:rPr>
                    <w:t>P</w:t>
                  </w:r>
                  <w:r w:rsidRPr="00A33872">
                    <w:rPr>
                      <w:highlight w:val="yellow"/>
                      <w:vertAlign w:val="subscript"/>
                    </w:rPr>
                    <w:t>NAS</w:t>
                  </w:r>
                  <w:r w:rsidRPr="00A33872">
                    <w:rPr>
                      <w:highlight w:val="yellow"/>
                    </w:rPr>
                    <w:t xml:space="preserve"> ≤ Thresh</w:t>
                  </w:r>
                  <w:r w:rsidRPr="00A33872">
                    <w:rPr>
                      <w:highlight w:val="yellow"/>
                      <w:vertAlign w:val="subscript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31B71" w14:textId="77777777" w:rsidR="00FA61D2" w:rsidRPr="00874940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874940"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30B2CA" w14:textId="77777777" w:rsidR="00FA61D2" w:rsidRPr="00874940" w:rsidRDefault="00FA61D2" w:rsidP="002E5D78">
                  <w:pPr>
                    <w:pStyle w:val="TAL"/>
                    <w:jc w:val="center"/>
                    <w:rPr>
                      <w:iCs/>
                      <w:highlight w:val="yellow"/>
                    </w:rPr>
                  </w:pPr>
                  <w:r w:rsidRPr="00874940">
                    <w:rPr>
                      <w:highlight w:val="yellow"/>
                    </w:rPr>
                    <w:t>N</w:t>
                  </w:r>
                  <w:r w:rsidRPr="00874940">
                    <w:rPr>
                      <w:highlight w:val="yellow"/>
                      <w:vertAlign w:val="subscript"/>
                    </w:rPr>
                    <w:t>th1</w:t>
                  </w:r>
                  <w:r w:rsidRPr="00874940">
                    <w:rPr>
                      <w:highlight w:val="yellow"/>
                    </w:rPr>
                    <w:t xml:space="preserve"> - 1</w:t>
                  </w:r>
                </w:p>
              </w:tc>
            </w:tr>
            <w:tr w:rsidR="00FA61D2" w:rsidRPr="003B0FA0" w14:paraId="59F37AEB" w14:textId="77777777" w:rsidTr="002E5D78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F6161" w14:textId="77777777" w:rsidR="00FA61D2" w:rsidRPr="00D87F7C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D87F7C">
                    <w:rPr>
                      <w:highlight w:val="yellow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79FC6" w14:textId="77777777" w:rsidR="00FA61D2" w:rsidRPr="00A33872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33872">
                    <w:rPr>
                      <w:highlight w:val="yellow"/>
                    </w:rPr>
                    <w:t>Thresh</w:t>
                  </w:r>
                  <w:r w:rsidRPr="00A33872">
                    <w:rPr>
                      <w:highlight w:val="yellow"/>
                      <w:vertAlign w:val="subscript"/>
                    </w:rPr>
                    <w:t>1</w:t>
                  </w:r>
                  <w:r w:rsidRPr="00A33872">
                    <w:rPr>
                      <w:highlight w:val="yellow"/>
                    </w:rPr>
                    <w:t xml:space="preserve"> &lt; P</w:t>
                  </w:r>
                  <w:r w:rsidRPr="00A33872">
                    <w:rPr>
                      <w:highlight w:val="yellow"/>
                      <w:vertAlign w:val="subscript"/>
                    </w:rPr>
                    <w:t>NAS</w:t>
                  </w:r>
                  <w:r w:rsidRPr="00A33872">
                    <w:rPr>
                      <w:highlight w:val="yellow"/>
                    </w:rPr>
                    <w:t xml:space="preserve"> ≤ Thresh</w:t>
                  </w:r>
                  <w:r w:rsidRPr="00A33872">
                    <w:rPr>
                      <w:highlight w:val="yellow"/>
                      <w:vertAlign w:val="subscript"/>
                    </w:rPr>
                    <w:t>2</w:t>
                  </w:r>
                  <w:r w:rsidRPr="00A33872">
                    <w:rPr>
                      <w:highlight w:val="yellow"/>
                    </w:rPr>
                    <w:t xml:space="preserve"> (Note)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97174" w14:textId="77777777" w:rsidR="00FA61D2" w:rsidRPr="00874940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874940">
                    <w:rPr>
                      <w:highlight w:val="yellow"/>
                    </w:rPr>
                    <w:t>N</w:t>
                  </w:r>
                  <w:r w:rsidRPr="00874940">
                    <w:rPr>
                      <w:highlight w:val="yellow"/>
                      <w:vertAlign w:val="subscript"/>
                    </w:rPr>
                    <w:t>th1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12592B" w14:textId="77777777" w:rsidR="00FA61D2" w:rsidRPr="00874940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874940">
                    <w:rPr>
                      <w:highlight w:val="yellow"/>
                    </w:rPr>
                    <w:t>N</w:t>
                  </w:r>
                  <w:r w:rsidRPr="00874940">
                    <w:rPr>
                      <w:highlight w:val="yellow"/>
                      <w:vertAlign w:val="subscript"/>
                    </w:rPr>
                    <w:t>th1</w:t>
                  </w:r>
                  <w:r w:rsidRPr="00874940">
                    <w:rPr>
                      <w:highlight w:val="yellow"/>
                    </w:rPr>
                    <w:t xml:space="preserve"> + N</w:t>
                  </w:r>
                  <w:r w:rsidRPr="00874940">
                    <w:rPr>
                      <w:highlight w:val="yellow"/>
                      <w:vertAlign w:val="subscript"/>
                    </w:rPr>
                    <w:t>th2</w:t>
                  </w:r>
                  <w:r w:rsidRPr="00874940">
                    <w:rPr>
                      <w:highlight w:val="yellow"/>
                    </w:rPr>
                    <w:t xml:space="preserve"> - 1</w:t>
                  </w:r>
                </w:p>
              </w:tc>
            </w:tr>
            <w:tr w:rsidR="00FA61D2" w:rsidRPr="003B0FA0" w14:paraId="63D13A1E" w14:textId="77777777" w:rsidTr="002E5D78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BF8154" w14:textId="77777777" w:rsidR="00FA61D2" w:rsidRPr="00D87F7C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D87F7C">
                    <w:rPr>
                      <w:highlight w:val="yellow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16C4E" w14:textId="77777777" w:rsidR="00FA61D2" w:rsidRPr="00A33872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33872">
                    <w:rPr>
                      <w:highlight w:val="yellow"/>
                    </w:rPr>
                    <w:t>Thresh</w:t>
                  </w:r>
                  <w:r w:rsidRPr="00A33872">
                    <w:rPr>
                      <w:highlight w:val="yellow"/>
                      <w:vertAlign w:val="subscript"/>
                    </w:rPr>
                    <w:t>2</w:t>
                  </w:r>
                  <w:r w:rsidRPr="00A33872">
                    <w:rPr>
                      <w:highlight w:val="yellow"/>
                    </w:rPr>
                    <w:t xml:space="preserve"> &lt; P</w:t>
                  </w:r>
                  <w:r w:rsidRPr="00A33872">
                    <w:rPr>
                      <w:highlight w:val="yellow"/>
                      <w:vertAlign w:val="subscript"/>
                    </w:rPr>
                    <w:t>NAS</w:t>
                  </w:r>
                  <w:r w:rsidRPr="00A33872">
                    <w:rPr>
                      <w:highlight w:val="yellow"/>
                    </w:rPr>
                    <w:t xml:space="preserve"> ≤ Thresh</w:t>
                  </w:r>
                  <w:r w:rsidRPr="00A33872">
                    <w:rPr>
                      <w:highlight w:val="yellow"/>
                      <w:vertAlign w:val="subscript"/>
                    </w:rPr>
                    <w:t>3</w:t>
                  </w:r>
                  <w:r w:rsidRPr="00A33872">
                    <w:rPr>
                      <w:highlight w:val="yellow"/>
                    </w:rPr>
                    <w:t xml:space="preserve"> (Note)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49852" w14:textId="77777777" w:rsidR="00FA61D2" w:rsidRPr="00874940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874940">
                    <w:rPr>
                      <w:highlight w:val="yellow"/>
                    </w:rPr>
                    <w:t>N</w:t>
                  </w:r>
                  <w:r w:rsidRPr="00874940">
                    <w:rPr>
                      <w:highlight w:val="yellow"/>
                      <w:vertAlign w:val="subscript"/>
                    </w:rPr>
                    <w:t>th1</w:t>
                  </w:r>
                  <w:r w:rsidRPr="00874940">
                    <w:rPr>
                      <w:highlight w:val="yellow"/>
                    </w:rPr>
                    <w:t xml:space="preserve"> + N</w:t>
                  </w:r>
                  <w:r w:rsidRPr="00874940">
                    <w:rPr>
                      <w:highlight w:val="yellow"/>
                      <w:vertAlign w:val="subscript"/>
                    </w:rPr>
                    <w:t>th2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C44D2A" w14:textId="77777777" w:rsidR="00FA61D2" w:rsidRPr="00874940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874940">
                    <w:rPr>
                      <w:highlight w:val="yellow"/>
                    </w:rPr>
                    <w:t>N</w:t>
                  </w:r>
                  <w:r w:rsidRPr="00874940">
                    <w:rPr>
                      <w:highlight w:val="yellow"/>
                      <w:vertAlign w:val="subscript"/>
                    </w:rPr>
                    <w:t>th1</w:t>
                  </w:r>
                  <w:r w:rsidRPr="00874940">
                    <w:rPr>
                      <w:highlight w:val="yellow"/>
                    </w:rPr>
                    <w:t xml:space="preserve"> + N</w:t>
                  </w:r>
                  <w:r w:rsidRPr="00874940">
                    <w:rPr>
                      <w:highlight w:val="yellow"/>
                      <w:vertAlign w:val="subscript"/>
                    </w:rPr>
                    <w:t>th2</w:t>
                  </w:r>
                  <w:r w:rsidRPr="00874940">
                    <w:rPr>
                      <w:highlight w:val="yellow"/>
                    </w:rPr>
                    <w:t xml:space="preserve"> + N</w:t>
                  </w:r>
                  <w:r w:rsidRPr="00874940">
                    <w:rPr>
                      <w:highlight w:val="yellow"/>
                      <w:vertAlign w:val="subscript"/>
                    </w:rPr>
                    <w:t>th3</w:t>
                  </w:r>
                  <w:r w:rsidRPr="00874940">
                    <w:rPr>
                      <w:highlight w:val="yellow"/>
                    </w:rPr>
                    <w:t xml:space="preserve"> - 1</w:t>
                  </w:r>
                </w:p>
              </w:tc>
            </w:tr>
            <w:tr w:rsidR="00FA61D2" w:rsidRPr="003B0FA0" w14:paraId="7213C486" w14:textId="77777777" w:rsidTr="002E5D78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F8675" w14:textId="77777777" w:rsidR="00FA61D2" w:rsidRPr="00D87F7C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D87F7C">
                    <w:rPr>
                      <w:highlight w:val="yellow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C6367C" w14:textId="77777777" w:rsidR="00FA61D2" w:rsidRPr="00A33872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33872">
                    <w:rPr>
                      <w:highlight w:val="yellow"/>
                    </w:rPr>
                    <w:t>P</w:t>
                  </w:r>
                  <w:r w:rsidRPr="00A33872">
                    <w:rPr>
                      <w:highlight w:val="yellow"/>
                      <w:vertAlign w:val="subscript"/>
                    </w:rPr>
                    <w:t>NAS</w:t>
                  </w:r>
                  <w:r w:rsidRPr="00A33872">
                    <w:rPr>
                      <w:highlight w:val="yellow"/>
                    </w:rPr>
                    <w:t xml:space="preserve"> &gt; Thresh</w:t>
                  </w:r>
                  <w:r w:rsidRPr="00A33872">
                    <w:rPr>
                      <w:highlight w:val="yellow"/>
                      <w:vertAlign w:val="subscript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4EFD0" w14:textId="77777777" w:rsidR="00FA61D2" w:rsidRPr="00874940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874940">
                    <w:rPr>
                      <w:highlight w:val="yellow"/>
                    </w:rPr>
                    <w:t>N</w:t>
                  </w:r>
                  <w:r w:rsidRPr="00874940">
                    <w:rPr>
                      <w:highlight w:val="yellow"/>
                      <w:vertAlign w:val="subscript"/>
                    </w:rPr>
                    <w:t>th1</w:t>
                  </w:r>
                  <w:r w:rsidRPr="00874940">
                    <w:rPr>
                      <w:highlight w:val="yellow"/>
                    </w:rPr>
                    <w:t xml:space="preserve"> + N</w:t>
                  </w:r>
                  <w:r w:rsidRPr="00874940">
                    <w:rPr>
                      <w:highlight w:val="yellow"/>
                      <w:vertAlign w:val="subscript"/>
                    </w:rPr>
                    <w:t>th2</w:t>
                  </w:r>
                  <w:r w:rsidRPr="00874940">
                    <w:rPr>
                      <w:highlight w:val="yellow"/>
                    </w:rPr>
                    <w:t xml:space="preserve"> + N</w:t>
                  </w:r>
                  <w:r w:rsidRPr="00874940">
                    <w:rPr>
                      <w:highlight w:val="yellow"/>
                      <w:vertAlign w:val="subscript"/>
                    </w:rPr>
                    <w:t>th3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0E451" w14:textId="77777777" w:rsidR="00FA61D2" w:rsidRPr="00874940" w:rsidRDefault="00FA61D2" w:rsidP="002E5D78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874940">
                    <w:rPr>
                      <w:szCs w:val="18"/>
                      <w:highlight w:val="yellow"/>
                    </w:rPr>
                    <w:t>maxWG - 1</w:t>
                  </w:r>
                </w:p>
              </w:tc>
            </w:tr>
            <w:tr w:rsidR="00FA61D2" w:rsidRPr="003B0FA0" w14:paraId="61F89CC0" w14:textId="77777777" w:rsidTr="002E5D78">
              <w:trPr>
                <w:jc w:val="center"/>
              </w:trPr>
              <w:tc>
                <w:tcPr>
                  <w:tcW w:w="864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7455B" w14:textId="77777777" w:rsidR="00FA61D2" w:rsidRPr="003B0FA0" w:rsidRDefault="00FA61D2" w:rsidP="002E5D78">
                  <w:pPr>
                    <w:pStyle w:val="TAN"/>
                  </w:pPr>
                  <w:r w:rsidRPr="003B0FA0">
                    <w:t>where</w:t>
                  </w:r>
                </w:p>
                <w:p w14:paraId="43DCBDDA" w14:textId="77777777" w:rsidR="00FA61D2" w:rsidRPr="003B0FA0" w:rsidRDefault="00FA61D2" w:rsidP="002E5D78">
                  <w:pPr>
                    <w:pStyle w:val="TAN"/>
                  </w:pPr>
                  <w:r w:rsidRPr="003B0FA0">
                    <w:rPr>
                      <w:noProof/>
                      <w:lang w:eastAsia="ja-JP"/>
                    </w:rPr>
                    <w:tab/>
                  </w:r>
                  <w:r w:rsidRPr="003B0FA0">
                    <w:t>Thresh</w:t>
                  </w:r>
                  <w:r w:rsidRPr="003B0FA0">
                    <w:rPr>
                      <w:vertAlign w:val="subscript"/>
                    </w:rPr>
                    <w:t xml:space="preserve">i </w:t>
                  </w:r>
                  <w:r w:rsidRPr="003B0FA0">
                    <w:t>is the value signalled in the i</w:t>
                  </w:r>
                  <w:r w:rsidRPr="003B0FA0">
                    <w:rPr>
                      <w:vertAlign w:val="superscript"/>
                    </w:rPr>
                    <w:t>th</w:t>
                  </w:r>
                  <w:r w:rsidRPr="003B0FA0">
                    <w:t xml:space="preserve"> entry of </w:t>
                  </w:r>
                  <w:r w:rsidRPr="003B0FA0">
                    <w:rPr>
                      <w:i/>
                    </w:rPr>
                    <w:t>probThreshList</w:t>
                  </w:r>
                </w:p>
                <w:p w14:paraId="066C2F89" w14:textId="77777777" w:rsidR="00FA61D2" w:rsidRPr="003B0FA0" w:rsidRDefault="00FA61D2" w:rsidP="002E5D78">
                  <w:pPr>
                    <w:pStyle w:val="TAN"/>
                    <w:rPr>
                      <w:i/>
                    </w:rPr>
                  </w:pPr>
                  <w:r w:rsidRPr="003B0FA0">
                    <w:rPr>
                      <w:noProof/>
                      <w:lang w:eastAsia="ja-JP"/>
                    </w:rPr>
                    <w:tab/>
                  </w:r>
                  <w:r w:rsidRPr="003B0FA0">
                    <w:t>N</w:t>
                  </w:r>
                  <w:r w:rsidRPr="003B0FA0">
                    <w:rPr>
                      <w:vertAlign w:val="subscript"/>
                    </w:rPr>
                    <w:t>thi</w:t>
                  </w:r>
                  <w:r w:rsidRPr="003B0FA0">
                    <w:t xml:space="preserve"> is the value signalled in the i</w:t>
                  </w:r>
                  <w:r w:rsidRPr="003B0FA0">
                    <w:rPr>
                      <w:vertAlign w:val="superscript"/>
                    </w:rPr>
                    <w:t>th</w:t>
                  </w:r>
                  <w:r w:rsidRPr="003B0FA0">
                    <w:t xml:space="preserve"> entry of </w:t>
                  </w:r>
                  <w:r w:rsidRPr="003B0FA0">
                    <w:rPr>
                      <w:i/>
                    </w:rPr>
                    <w:t>groupsForServiceList</w:t>
                  </w:r>
                </w:p>
                <w:p w14:paraId="7F685E5A" w14:textId="77777777" w:rsidR="00FA61D2" w:rsidRPr="003B0FA0" w:rsidRDefault="00FA61D2" w:rsidP="002E5D78">
                  <w:pPr>
                    <w:pStyle w:val="TAN"/>
                    <w:rPr>
                      <w:iCs/>
                    </w:rPr>
                  </w:pPr>
                  <w:r w:rsidRPr="003B0FA0">
                    <w:rPr>
                      <w:iCs/>
                    </w:rPr>
                    <w:t>Note:</w:t>
                  </w:r>
                  <w:r w:rsidRPr="003B0FA0">
                    <w:rPr>
                      <w:noProof/>
                      <w:lang w:eastAsia="ja-JP"/>
                    </w:rPr>
                    <w:tab/>
                  </w:r>
                  <w:r w:rsidRPr="003B0FA0">
                    <w:rPr>
                      <w:iCs/>
                    </w:rPr>
                    <w:t>When the total number of WUS group sets is less than 4, the upper bound for the WUS group set with highest index is maxWG - 1.</w:t>
                  </w:r>
                </w:p>
              </w:tc>
            </w:tr>
          </w:tbl>
          <w:p w14:paraId="19A26DE9" w14:textId="77777777" w:rsidR="00FA61D2" w:rsidRDefault="00FA61D2" w:rsidP="002E5D78">
            <w:pPr>
              <w:rPr>
                <w:noProof/>
                <w:lang w:eastAsia="ja-JP"/>
              </w:rPr>
            </w:pPr>
          </w:p>
          <w:p w14:paraId="075F364D" w14:textId="77777777" w:rsidR="00FA61D2" w:rsidRPr="003B0FA0" w:rsidRDefault="00FA61D2" w:rsidP="002E5D78">
            <w:pPr>
              <w:rPr>
                <w:noProof/>
              </w:rPr>
            </w:pPr>
            <w:r w:rsidRPr="003B0FA0">
              <w:rPr>
                <w:noProof/>
                <w:lang w:eastAsia="ja-JP"/>
              </w:rPr>
              <w:t xml:space="preserve">If </w:t>
            </w:r>
            <w:r w:rsidRPr="003B0FA0">
              <w:rPr>
                <w:i/>
              </w:rPr>
              <w:t>probThreshList</w:t>
            </w:r>
            <w:r w:rsidRPr="003B0FA0">
              <w:t xml:space="preserve"> is not present in </w:t>
            </w:r>
            <w:r w:rsidRPr="003B0FA0">
              <w:rPr>
                <w:i/>
              </w:rPr>
              <w:t>gwus-Config</w:t>
            </w:r>
            <w:r w:rsidRPr="003B0FA0">
              <w:t xml:space="preserve">, there is only one WUS group set containing all the WUS groups configured in </w:t>
            </w:r>
            <w:r w:rsidRPr="003B0FA0">
              <w:rPr>
                <w:i/>
                <w:iCs/>
              </w:rPr>
              <w:t>numGroupsList</w:t>
            </w:r>
            <w:r w:rsidRPr="003B0FA0">
              <w:t>. The total number of WUS groups is maxWG.</w:t>
            </w:r>
          </w:p>
          <w:p w14:paraId="6AB2D35B" w14:textId="77777777" w:rsidR="00FA61D2" w:rsidRPr="003B0FA0" w:rsidRDefault="00FA61D2" w:rsidP="00505982">
            <w:pPr>
              <w:pStyle w:val="Heading3"/>
              <w:rPr>
                <w:noProof/>
                <w:lang w:eastAsia="ja-JP"/>
              </w:rPr>
            </w:pPr>
            <w:bookmarkStart w:id="4" w:name="_Toc37235847"/>
            <w:bookmarkStart w:id="5" w:name="_Toc46499553"/>
            <w:bookmarkStart w:id="6" w:name="_Toc52492285"/>
            <w:r w:rsidRPr="003B0FA0">
              <w:rPr>
                <w:noProof/>
                <w:lang w:eastAsia="ja-JP"/>
              </w:rPr>
              <w:t>7.5.3</w:t>
            </w:r>
            <w:r w:rsidRPr="003B0FA0">
              <w:rPr>
                <w:noProof/>
                <w:lang w:eastAsia="ja-JP"/>
              </w:rPr>
              <w:tab/>
              <w:t>WUS group selection</w:t>
            </w:r>
            <w:bookmarkEnd w:id="4"/>
            <w:bookmarkEnd w:id="5"/>
            <w:bookmarkEnd w:id="6"/>
          </w:p>
          <w:p w14:paraId="69632A6A" w14:textId="77777777" w:rsidR="00FA61D2" w:rsidRPr="003B0FA0" w:rsidRDefault="00FA61D2" w:rsidP="002E5D78">
            <w:pPr>
              <w:rPr>
                <w:noProof/>
                <w:lang w:eastAsia="ja-JP"/>
              </w:rPr>
            </w:pPr>
            <w:r w:rsidRPr="003B0FA0">
              <w:rPr>
                <w:noProof/>
                <w:lang w:eastAsia="ja-JP"/>
              </w:rPr>
              <w:t>After selection of the WUS group set as specified in clause 7.5.2, the UE selects the WUS group to monitor as below.</w:t>
            </w:r>
          </w:p>
          <w:p w14:paraId="1C5F14FA" w14:textId="77777777" w:rsidR="00FA61D2" w:rsidRPr="003B0FA0" w:rsidRDefault="00FA61D2" w:rsidP="002E5D78">
            <w:pPr>
              <w:rPr>
                <w:noProof/>
                <w:lang w:eastAsia="ja-JP"/>
              </w:rPr>
            </w:pPr>
            <w:r w:rsidRPr="003B0FA0">
              <w:rPr>
                <w:lang w:eastAsia="zh-CN"/>
              </w:rPr>
              <w:t>For BL UE or UE in enhanced coverage, t</w:t>
            </w:r>
            <w:r w:rsidRPr="003B0FA0">
              <w:rPr>
                <w:noProof/>
                <w:lang w:eastAsia="ja-JP"/>
              </w:rPr>
              <w:t>he UE determines wg with following equation:</w:t>
            </w:r>
          </w:p>
          <w:p w14:paraId="06B486F4" w14:textId="77777777" w:rsidR="00FA61D2" w:rsidRPr="003B0FA0" w:rsidRDefault="00FA61D2" w:rsidP="002E5D78">
            <m:oMathPara>
              <m:oMath>
                <m:r>
                  <w:rPr>
                    <w:rFonts w:ascii="Cambria Math" w:hAnsi="Cambria Math" w:cs="Arial"/>
                  </w:rPr>
                  <m:t>wg=floor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floor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rial"/>
                                  </w:rPr>
                                  <m:t>UE_ID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</w:rPr>
                                      <m:t>N×N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</w:rPr>
                                      <m:t>s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n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hAnsi="Cambria Math" w:cs="Arial"/>
                  </w:rPr>
                  <m:t xml:space="preserve"> mod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w</m:t>
                    </m:r>
                  </m:sub>
                </m:sSub>
              </m:oMath>
            </m:oMathPara>
          </w:p>
          <w:p w14:paraId="56A9E0BB" w14:textId="77777777" w:rsidR="00FA61D2" w:rsidRPr="003B0FA0" w:rsidRDefault="00FA61D2" w:rsidP="002E5D78">
            <w:pPr>
              <w:rPr>
                <w:noProof/>
                <w:lang w:eastAsia="ja-JP"/>
              </w:rPr>
            </w:pPr>
            <w:r w:rsidRPr="003B0FA0">
              <w:rPr>
                <w:lang w:eastAsia="ja-JP"/>
              </w:rPr>
              <w:t>For NB-</w:t>
            </w:r>
            <w:r w:rsidRPr="003B0FA0">
              <w:rPr>
                <w:lang w:eastAsia="zh-CN"/>
              </w:rPr>
              <w:t>IoT, the</w:t>
            </w:r>
            <w:r w:rsidRPr="003B0FA0">
              <w:rPr>
                <w:noProof/>
                <w:lang w:eastAsia="zh-CN"/>
              </w:rPr>
              <w:t xml:space="preserve"> </w:t>
            </w:r>
            <w:r w:rsidRPr="003B0FA0">
              <w:rPr>
                <w:noProof/>
                <w:lang w:eastAsia="ja-JP"/>
              </w:rPr>
              <w:t>UE determines wg with following equation:</w:t>
            </w:r>
          </w:p>
          <w:p w14:paraId="22F4B266" w14:textId="77777777" w:rsidR="00FA61D2" w:rsidRPr="00C02176" w:rsidRDefault="00FA61D2" w:rsidP="002E5D78">
            <m:oMathPara>
              <m:oMath>
                <m:r>
                  <w:rPr>
                    <w:rFonts w:ascii="Cambria Math" w:hAnsi="Cambria Math" w:cs="Arial"/>
                    <w:highlight w:val="yellow"/>
                  </w:rPr>
                  <m:t>wg=floor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highlight w:val="yellow"/>
                          </w:rPr>
                          <m:t>UE_ID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highlight w:val="yellow"/>
                              </w:rPr>
                              <m:t>N×N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highlight w:val="yellow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highlight w:val="yellow"/>
                          </w:rPr>
                          <m:t>×</m:t>
                        </m:r>
                        <m:r>
                          <w:rPr>
                            <w:rFonts w:ascii="Cambria Math" w:hAnsi="Cambria Math" w:cs="Arial"/>
                            <w:highlight w:val="yellow"/>
                            <w:lang w:eastAsia="zh-CN"/>
                          </w:rPr>
                          <m:t>W</m:t>
                        </m:r>
                      </m:den>
                    </m:f>
                  </m:e>
                </m:d>
                <m:r>
                  <w:rPr>
                    <w:rFonts w:ascii="Cambria Math" w:hAnsi="Cambria Math" w:cs="Arial"/>
                    <w:highlight w:val="yellow"/>
                  </w:rPr>
                  <m:t xml:space="preserve"> mod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highlight w:val="yellow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highlight w:val="yellow"/>
                      </w:rPr>
                      <m:t>w</m:t>
                    </m:r>
                  </m:sub>
                </m:sSub>
              </m:oMath>
            </m:oMathPara>
          </w:p>
          <w:p w14:paraId="206CA6D5" w14:textId="77777777" w:rsidR="00C02176" w:rsidRPr="003B0FA0" w:rsidRDefault="00C02176" w:rsidP="00C02176">
            <w:r w:rsidRPr="003B0FA0">
              <w:t>where:</w:t>
            </w:r>
          </w:p>
          <w:p w14:paraId="03490091" w14:textId="77777777" w:rsidR="00C02176" w:rsidRPr="003B0FA0" w:rsidRDefault="00C02176" w:rsidP="00C02176">
            <w:pPr>
              <w:pStyle w:val="B1"/>
              <w:rPr>
                <w:noProof/>
              </w:rPr>
            </w:pPr>
            <w:r w:rsidRPr="003B0FA0">
              <w:rPr>
                <w:noProof/>
              </w:rPr>
              <w:t>-</w:t>
            </w:r>
            <w:r w:rsidRPr="003B0FA0">
              <w:rPr>
                <w:noProof/>
              </w:rPr>
              <w:tab/>
              <w:t>UE_ID, N, N</w:t>
            </w:r>
            <w:r w:rsidRPr="003B0FA0">
              <w:rPr>
                <w:noProof/>
                <w:vertAlign w:val="subscript"/>
              </w:rPr>
              <w:t>s</w:t>
            </w:r>
            <w:r w:rsidRPr="003B0FA0">
              <w:rPr>
                <w:noProof/>
              </w:rPr>
              <w:t>, N</w:t>
            </w:r>
            <w:r w:rsidRPr="003B0FA0">
              <w:rPr>
                <w:noProof/>
                <w:vertAlign w:val="subscript"/>
              </w:rPr>
              <w:t>n</w:t>
            </w:r>
            <w:r w:rsidRPr="003B0FA0">
              <w:rPr>
                <w:noProof/>
              </w:rPr>
              <w:t xml:space="preserve"> and W</w:t>
            </w:r>
            <w:r w:rsidRPr="003B0FA0" w:rsidDel="009D4C87">
              <w:rPr>
                <w:noProof/>
                <w:vertAlign w:val="subscript"/>
              </w:rPr>
              <w:t xml:space="preserve"> </w:t>
            </w:r>
            <w:r w:rsidRPr="003B0FA0">
              <w:rPr>
                <w:noProof/>
              </w:rPr>
              <w:t>are defined</w:t>
            </w:r>
            <w:r w:rsidRPr="003B0FA0">
              <w:rPr>
                <w:noProof/>
                <w:vertAlign w:val="subscript"/>
              </w:rPr>
              <w:t xml:space="preserve"> </w:t>
            </w:r>
            <w:r w:rsidRPr="003B0FA0">
              <w:rPr>
                <w:noProof/>
              </w:rPr>
              <w:t>in clause</w:t>
            </w:r>
            <w:r w:rsidRPr="003B0FA0">
              <w:rPr>
                <w:noProof/>
                <w:vertAlign w:val="subscript"/>
              </w:rPr>
              <w:t xml:space="preserve"> </w:t>
            </w:r>
            <w:r w:rsidRPr="003B0FA0">
              <w:rPr>
                <w:noProof/>
              </w:rPr>
              <w:t>7.1.</w:t>
            </w:r>
          </w:p>
          <w:p w14:paraId="22A75D38" w14:textId="77777777" w:rsidR="00C02176" w:rsidRPr="003B0FA0" w:rsidRDefault="00C02176" w:rsidP="00C02176">
            <w:pPr>
              <w:pStyle w:val="B1"/>
            </w:pPr>
            <w:r w:rsidRPr="003B0FA0">
              <w:t>-</w:t>
            </w:r>
            <w:r w:rsidRPr="003B0FA0">
              <w:tab/>
              <w:t>N</w:t>
            </w:r>
            <w:r w:rsidRPr="003B0FA0">
              <w:rPr>
                <w:vertAlign w:val="subscript"/>
              </w:rPr>
              <w:t>w</w:t>
            </w:r>
            <w:r w:rsidRPr="003B0FA0">
              <w:t xml:space="preserve"> is the number of WUS groups in the selected WUS group set.</w:t>
            </w:r>
          </w:p>
          <w:p w14:paraId="09AFFD13" w14:textId="77777777" w:rsidR="00C02176" w:rsidRPr="003B0FA0" w:rsidRDefault="00C02176" w:rsidP="00C02176">
            <w:pPr>
              <w:pStyle w:val="B1"/>
              <w:rPr>
                <w:noProof/>
              </w:rPr>
            </w:pPr>
            <w:r w:rsidRPr="003B0FA0">
              <w:rPr>
                <w:noProof/>
              </w:rPr>
              <w:t>-</w:t>
            </w:r>
            <w:r w:rsidRPr="003B0FA0">
              <w:rPr>
                <w:noProof/>
              </w:rPr>
              <w:tab/>
              <w:t xml:space="preserve">wg is the index of the WUS group in the selected WUS group set, </w:t>
            </w:r>
            <w:r w:rsidRPr="003B0FA0">
              <w:rPr>
                <w:noProof/>
                <w:lang w:eastAsia="ja-JP"/>
              </w:rPr>
              <w:t>determined as defined in clause 7.5.2</w:t>
            </w:r>
            <w:r w:rsidRPr="003B0FA0">
              <w:rPr>
                <w:noProof/>
              </w:rPr>
              <w:t>, 0 .. N</w:t>
            </w:r>
            <w:r w:rsidRPr="003B0FA0">
              <w:rPr>
                <w:noProof/>
                <w:vertAlign w:val="subscript"/>
              </w:rPr>
              <w:t>w</w:t>
            </w:r>
            <w:r w:rsidRPr="003B0FA0">
              <w:rPr>
                <w:noProof/>
              </w:rPr>
              <w:t>-1.</w:t>
            </w:r>
          </w:p>
          <w:p w14:paraId="3F8C7035" w14:textId="77777777" w:rsidR="00C02176" w:rsidRPr="003B0FA0" w:rsidRDefault="00C02176" w:rsidP="00C02176">
            <w:pPr>
              <w:rPr>
                <w:noProof/>
                <w:lang w:eastAsia="ja-JP"/>
              </w:rPr>
            </w:pPr>
            <w:r w:rsidRPr="003B0FA0">
              <w:rPr>
                <w:lang w:eastAsia="ja-JP"/>
              </w:rPr>
              <w:t xml:space="preserve">If </w:t>
            </w:r>
            <w:r w:rsidRPr="003B0FA0">
              <w:rPr>
                <w:i/>
              </w:rPr>
              <w:t>probThreshList</w:t>
            </w:r>
            <w:r w:rsidRPr="003B0FA0">
              <w:rPr>
                <w:noProof/>
                <w:lang w:eastAsia="ja-JP"/>
              </w:rPr>
              <w:t xml:space="preserve"> is not present, WG = wg. </w:t>
            </w:r>
            <w:r w:rsidRPr="003B0FA0">
              <w:rPr>
                <w:lang w:eastAsia="ja-JP"/>
              </w:rPr>
              <w:t xml:space="preserve">If </w:t>
            </w:r>
            <w:r w:rsidRPr="003B0FA0">
              <w:rPr>
                <w:i/>
              </w:rPr>
              <w:t>probThreshList</w:t>
            </w:r>
            <w:r w:rsidRPr="003B0FA0">
              <w:rPr>
                <w:noProof/>
                <w:lang w:eastAsia="ja-JP"/>
              </w:rPr>
              <w:t xml:space="preserve"> is present, the UE determines WG, the index of the corresponding WUS group within the WUS groups list, as defined in Table 7.5.3-1.</w:t>
            </w:r>
          </w:p>
          <w:p w14:paraId="09B984D6" w14:textId="77777777" w:rsidR="00C02176" w:rsidRPr="003B0FA0" w:rsidRDefault="00C02176" w:rsidP="00C02176">
            <w:pPr>
              <w:pStyle w:val="TH"/>
            </w:pPr>
            <w:r w:rsidRPr="003B0FA0">
              <w:t>Table 7.5.3-1: Index of the WUS group to monitor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4"/>
              <w:gridCol w:w="3999"/>
            </w:tblGrid>
            <w:tr w:rsidR="00C02176" w:rsidRPr="003B0FA0" w14:paraId="30801D6E" w14:textId="77777777" w:rsidTr="002E5D78">
              <w:trPr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29C894" w14:textId="77777777" w:rsidR="00C02176" w:rsidRPr="00C913B5" w:rsidRDefault="00C02176" w:rsidP="00C02176">
                  <w:pPr>
                    <w:pStyle w:val="TAH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Selected WUS group set</w:t>
                  </w:r>
                </w:p>
              </w:tc>
              <w:tc>
                <w:tcPr>
                  <w:tcW w:w="3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00B081" w14:textId="77777777" w:rsidR="00C02176" w:rsidRPr="00C913B5" w:rsidRDefault="00C02176" w:rsidP="00C02176">
                  <w:pPr>
                    <w:pStyle w:val="TAH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WG</w:t>
                  </w:r>
                </w:p>
              </w:tc>
            </w:tr>
            <w:tr w:rsidR="00C02176" w:rsidRPr="003B0FA0" w14:paraId="66F521AB" w14:textId="77777777" w:rsidTr="002E5D78">
              <w:trPr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5D343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1</w:t>
                  </w:r>
                </w:p>
              </w:tc>
              <w:tc>
                <w:tcPr>
                  <w:tcW w:w="3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68410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wg</w:t>
                  </w:r>
                </w:p>
              </w:tc>
            </w:tr>
            <w:tr w:rsidR="00C02176" w:rsidRPr="003B0FA0" w14:paraId="386B8533" w14:textId="77777777" w:rsidTr="002E5D78">
              <w:trPr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97E60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2</w:t>
                  </w:r>
                </w:p>
              </w:tc>
              <w:tc>
                <w:tcPr>
                  <w:tcW w:w="3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12203D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wg + N</w:t>
                  </w:r>
                  <w:r w:rsidRPr="00C913B5">
                    <w:rPr>
                      <w:highlight w:val="yellow"/>
                      <w:vertAlign w:val="subscript"/>
                    </w:rPr>
                    <w:t>th1</w:t>
                  </w:r>
                </w:p>
              </w:tc>
            </w:tr>
            <w:tr w:rsidR="00C02176" w:rsidRPr="003B0FA0" w14:paraId="7A0B9E7B" w14:textId="77777777" w:rsidTr="002E5D78">
              <w:trPr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E1C27B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3</w:t>
                  </w:r>
                </w:p>
              </w:tc>
              <w:tc>
                <w:tcPr>
                  <w:tcW w:w="3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EB110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wg + N</w:t>
                  </w:r>
                  <w:r w:rsidRPr="00C913B5">
                    <w:rPr>
                      <w:highlight w:val="yellow"/>
                      <w:vertAlign w:val="subscript"/>
                    </w:rPr>
                    <w:t xml:space="preserve">th1 + </w:t>
                  </w:r>
                  <w:r w:rsidRPr="00C913B5">
                    <w:rPr>
                      <w:highlight w:val="yellow"/>
                    </w:rPr>
                    <w:t>N</w:t>
                  </w:r>
                  <w:r w:rsidRPr="00C913B5">
                    <w:rPr>
                      <w:highlight w:val="yellow"/>
                      <w:vertAlign w:val="subscript"/>
                    </w:rPr>
                    <w:t>th2</w:t>
                  </w:r>
                </w:p>
              </w:tc>
            </w:tr>
            <w:tr w:rsidR="00C02176" w:rsidRPr="003B0FA0" w14:paraId="10E10320" w14:textId="77777777" w:rsidTr="002E5D78">
              <w:trPr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CBD590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4</w:t>
                  </w:r>
                </w:p>
              </w:tc>
              <w:tc>
                <w:tcPr>
                  <w:tcW w:w="3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CB8F8" w14:textId="77777777" w:rsidR="00C02176" w:rsidRPr="00C913B5" w:rsidRDefault="00C02176" w:rsidP="00C02176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C913B5">
                    <w:rPr>
                      <w:highlight w:val="yellow"/>
                    </w:rPr>
                    <w:t>wg + N</w:t>
                  </w:r>
                  <w:r w:rsidRPr="00C913B5">
                    <w:rPr>
                      <w:highlight w:val="yellow"/>
                      <w:vertAlign w:val="subscript"/>
                    </w:rPr>
                    <w:t xml:space="preserve">th1 + </w:t>
                  </w:r>
                  <w:r w:rsidRPr="00C913B5">
                    <w:rPr>
                      <w:highlight w:val="yellow"/>
                    </w:rPr>
                    <w:t>N</w:t>
                  </w:r>
                  <w:r w:rsidRPr="00C913B5">
                    <w:rPr>
                      <w:highlight w:val="yellow"/>
                      <w:vertAlign w:val="subscript"/>
                    </w:rPr>
                    <w:t xml:space="preserve">th2 + </w:t>
                  </w:r>
                  <w:r w:rsidRPr="00C913B5">
                    <w:rPr>
                      <w:highlight w:val="yellow"/>
                    </w:rPr>
                    <w:t>N</w:t>
                  </w:r>
                  <w:r w:rsidRPr="00C913B5">
                    <w:rPr>
                      <w:highlight w:val="yellow"/>
                      <w:vertAlign w:val="subscript"/>
                    </w:rPr>
                    <w:t>th3</w:t>
                  </w:r>
                </w:p>
              </w:tc>
            </w:tr>
            <w:tr w:rsidR="00C02176" w:rsidRPr="003B0FA0" w14:paraId="24EC0358" w14:textId="77777777" w:rsidTr="002E5D78">
              <w:trPr>
                <w:jc w:val="center"/>
              </w:trPr>
              <w:tc>
                <w:tcPr>
                  <w:tcW w:w="71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18DDC" w14:textId="77777777" w:rsidR="00C02176" w:rsidRPr="003B0FA0" w:rsidRDefault="00C02176" w:rsidP="00C02176">
                  <w:pPr>
                    <w:pStyle w:val="TAL"/>
                  </w:pPr>
                  <w:r w:rsidRPr="003B0FA0">
                    <w:t>Where N</w:t>
                  </w:r>
                  <w:r w:rsidRPr="003B0FA0">
                    <w:rPr>
                      <w:vertAlign w:val="subscript"/>
                    </w:rPr>
                    <w:t>thi</w:t>
                  </w:r>
                  <w:r w:rsidRPr="003B0FA0">
                    <w:t xml:space="preserve"> is defined in table 7.5.1 </w:t>
                  </w:r>
                </w:p>
              </w:tc>
            </w:tr>
          </w:tbl>
          <w:p w14:paraId="4E1F5893" w14:textId="77FC3E73" w:rsidR="00C02176" w:rsidRDefault="00C02176" w:rsidP="002E5D78"/>
        </w:tc>
      </w:tr>
    </w:tbl>
    <w:p w14:paraId="69A5DAB6" w14:textId="52B446E7" w:rsidR="003054CC" w:rsidRDefault="00002C51" w:rsidP="00FA61D2">
      <w:pPr>
        <w:spacing w:before="120"/>
        <w:jc w:val="both"/>
      </w:pPr>
      <w:r>
        <w:t>RAN2 agreed in the previous meetings that</w:t>
      </w:r>
      <w:r w:rsidR="00FA5871">
        <w:t xml:space="preserve"> </w:t>
      </w:r>
      <w:r w:rsidR="003C029E">
        <w:t xml:space="preserve">the </w:t>
      </w:r>
      <w:r w:rsidR="00FA5871">
        <w:t xml:space="preserve">NW assignment </w:t>
      </w:r>
      <w:r w:rsidR="003C029E">
        <w:t xml:space="preserve">of the paging subgrouping information </w:t>
      </w:r>
      <w:r w:rsidR="00FA5871">
        <w:t xml:space="preserve">based on </w:t>
      </w:r>
      <w:r w:rsidR="00FA5871" w:rsidRPr="00DA21F1">
        <w:t>individual UE characteristics</w:t>
      </w:r>
      <w:r w:rsidR="00FA5871">
        <w:t>, not specified or limited to paging prob</w:t>
      </w:r>
      <w:r w:rsidR="003C029E">
        <w:t>ability</w:t>
      </w:r>
      <w:r w:rsidR="00FA5871">
        <w:t xml:space="preserve"> as </w:t>
      </w:r>
      <w:r w:rsidR="003C029E">
        <w:t xml:space="preserve">in </w:t>
      </w:r>
      <w:r w:rsidR="00FA5871">
        <w:t xml:space="preserve">EUTRA, </w:t>
      </w:r>
      <w:r w:rsidR="00D45966">
        <w:t xml:space="preserve">but </w:t>
      </w:r>
      <w:r w:rsidR="00FA5871">
        <w:t xml:space="preserve">we believe the </w:t>
      </w:r>
      <w:r w:rsidR="003C029E">
        <w:t xml:space="preserve">paging subgrouping </w:t>
      </w:r>
      <w:r w:rsidR="00FA5871">
        <w:t>framework from NB-IoT</w:t>
      </w:r>
      <w:r w:rsidR="003C029E">
        <w:t>/eMTC</w:t>
      </w:r>
      <w:r w:rsidR="00FA5871">
        <w:t xml:space="preserve"> could still be reused </w:t>
      </w:r>
      <w:r w:rsidR="003C029E">
        <w:t xml:space="preserve">in NR </w:t>
      </w:r>
      <w:r w:rsidR="00FA5871">
        <w:t xml:space="preserve">to limit the impact to CN as much as possible. </w:t>
      </w:r>
    </w:p>
    <w:p w14:paraId="50328757" w14:textId="095E02A0" w:rsidR="0008181E" w:rsidRDefault="00D45966" w:rsidP="00FA61D2">
      <w:pPr>
        <w:spacing w:before="120"/>
        <w:jc w:val="both"/>
      </w:pPr>
      <w:r>
        <w:t>The</w:t>
      </w:r>
      <w:r w:rsidR="003054CC" w:rsidRPr="003054CC">
        <w:t xml:space="preserve"> </w:t>
      </w:r>
      <w:r w:rsidR="00AB6F36">
        <w:t xml:space="preserve">WUS </w:t>
      </w:r>
      <w:r w:rsidR="003054CC">
        <w:t>assistance information IE with</w:t>
      </w:r>
      <w:r>
        <w:t xml:space="preserve"> </w:t>
      </w:r>
      <w:r w:rsidR="003054CC">
        <w:t xml:space="preserve">values </w:t>
      </w:r>
      <w:r>
        <w:t>p0~p100</w:t>
      </w:r>
      <w:r w:rsidR="00285E23">
        <w:t xml:space="preserve"> (21 codepoints)</w:t>
      </w:r>
      <w:r>
        <w:t xml:space="preserve"> </w:t>
      </w:r>
      <w:r w:rsidR="003D1C9B">
        <w:t xml:space="preserve">may </w:t>
      </w:r>
      <w:r w:rsidR="003054CC">
        <w:t xml:space="preserve">provide </w:t>
      </w:r>
      <w:r w:rsidR="000627BD">
        <w:t>finer granularity than the subgroups RAN support</w:t>
      </w:r>
      <w:r w:rsidR="0008181E">
        <w:t>s</w:t>
      </w:r>
      <w:r w:rsidR="00F90EDB">
        <w:t xml:space="preserve">. </w:t>
      </w:r>
      <w:r w:rsidR="003D1C9B">
        <w:t>However, i</w:t>
      </w:r>
      <w:r w:rsidR="0008181E">
        <w:t xml:space="preserve">t could be </w:t>
      </w:r>
      <w:r w:rsidR="00F90EDB">
        <w:t>re</w:t>
      </w:r>
      <w:r w:rsidR="0008181E">
        <w:t xml:space="preserve">used </w:t>
      </w:r>
      <w:r w:rsidR="003D1C9B">
        <w:t xml:space="preserve">and account for </w:t>
      </w:r>
      <w:r w:rsidR="0008181E">
        <w:t xml:space="preserve">other </w:t>
      </w:r>
      <w:r w:rsidR="003D1C9B">
        <w:t xml:space="preserve">UE </w:t>
      </w:r>
      <w:r w:rsidR="0008181E">
        <w:t xml:space="preserve">characteristics as well not limited to </w:t>
      </w:r>
      <w:r w:rsidR="003D1C9B">
        <w:t xml:space="preserve">the UE’s </w:t>
      </w:r>
      <w:r w:rsidR="0008181E">
        <w:t>paging probability</w:t>
      </w:r>
      <w:r w:rsidR="00A4763C">
        <w:t>. For example</w:t>
      </w:r>
      <w:r w:rsidR="005332E6">
        <w:t xml:space="preserve">, </w:t>
      </w:r>
      <w:r w:rsidR="00A4763C">
        <w:t>if it is</w:t>
      </w:r>
      <w:r w:rsidR="005332E6">
        <w:t xml:space="preserve"> </w:t>
      </w:r>
      <w:r w:rsidR="00A608BB">
        <w:t xml:space="preserve">based </w:t>
      </w:r>
      <w:r w:rsidR="003D1C9B">
        <w:t xml:space="preserve">on the </w:t>
      </w:r>
      <w:r w:rsidR="00A608BB">
        <w:t xml:space="preserve">UE power profile, there might only be </w:t>
      </w:r>
      <w:r w:rsidR="00511F36">
        <w:t>a few UE types</w:t>
      </w:r>
      <w:r w:rsidR="008E1179">
        <w:t xml:space="preserve"> </w:t>
      </w:r>
      <w:r w:rsidR="003D1C9B">
        <w:t xml:space="preserve">and these may not require so </w:t>
      </w:r>
      <w:r w:rsidR="008E1179">
        <w:t xml:space="preserve">many code points, e.g. </w:t>
      </w:r>
      <w:r w:rsidR="003D1C9B">
        <w:t xml:space="preserve">we could assume </w:t>
      </w:r>
      <w:r w:rsidR="00A608BB">
        <w:t>two subset</w:t>
      </w:r>
      <w:r w:rsidR="0029034E">
        <w:t xml:space="preserve">s </w:t>
      </w:r>
      <w:r w:rsidR="003D1C9B">
        <w:t>from CN point of view,</w:t>
      </w:r>
      <w:r w:rsidR="00511F36">
        <w:t xml:space="preserve"> one </w:t>
      </w:r>
      <w:r w:rsidR="0029034E">
        <w:t>for eMBB and</w:t>
      </w:r>
      <w:r w:rsidR="00511F36">
        <w:t xml:space="preserve"> the other</w:t>
      </w:r>
      <w:r w:rsidR="0029034E">
        <w:t xml:space="preserve"> for Redcap UEs, </w:t>
      </w:r>
      <w:r w:rsidR="00F90EDB">
        <w:t xml:space="preserve">while </w:t>
      </w:r>
      <w:r w:rsidR="0029034E">
        <w:t>there could</w:t>
      </w:r>
      <w:r w:rsidR="001D1B53">
        <w:t xml:space="preserve"> </w:t>
      </w:r>
      <w:r w:rsidR="0029034E">
        <w:t xml:space="preserve">be more subgroups within </w:t>
      </w:r>
      <w:r w:rsidR="00C27F0E">
        <w:t xml:space="preserve">each </w:t>
      </w:r>
      <w:r w:rsidR="0029034E">
        <w:t>subset in RAN</w:t>
      </w:r>
      <w:r w:rsidR="00C27F0E">
        <w:t>,</w:t>
      </w:r>
      <w:r w:rsidR="00511F36">
        <w:t xml:space="preserve"> </w:t>
      </w:r>
      <w:r w:rsidR="00C27F0E">
        <w:t>based on UE-ID</w:t>
      </w:r>
      <w:r w:rsidR="00511F36">
        <w:t xml:space="preserve"> </w:t>
      </w:r>
      <w:r w:rsidR="00027C50">
        <w:t xml:space="preserve">as for </w:t>
      </w:r>
      <w:r w:rsidR="00511F36">
        <w:t>NB-IoT</w:t>
      </w:r>
      <w:r w:rsidR="0029034E">
        <w:t>.</w:t>
      </w:r>
      <w:r w:rsidR="00014152">
        <w:t xml:space="preserve"> </w:t>
      </w:r>
    </w:p>
    <w:p w14:paraId="1CE1157A" w14:textId="5FC3B989" w:rsidR="00DB4270" w:rsidRDefault="001B5131" w:rsidP="00FA61D2">
      <w:pPr>
        <w:spacing w:before="120"/>
        <w:jc w:val="both"/>
        <w:rPr>
          <w:lang w:eastAsia="zh-CN"/>
        </w:rPr>
      </w:pPr>
      <w:r>
        <w:lastRenderedPageBreak/>
        <w:t xml:space="preserve">Such </w:t>
      </w:r>
      <w:r w:rsidR="00C27F0E">
        <w:t xml:space="preserve">existing </w:t>
      </w:r>
      <w:r>
        <w:t>framework</w:t>
      </w:r>
      <w:r w:rsidR="00B2729B">
        <w:t xml:space="preserve"> </w:t>
      </w:r>
      <w:r w:rsidR="00EC0071">
        <w:t xml:space="preserve">provides full flexibility to either </w:t>
      </w:r>
      <w:r w:rsidR="00C27F0E">
        <w:t>hav</w:t>
      </w:r>
      <w:r w:rsidR="00EC0071">
        <w:t>ing</w:t>
      </w:r>
      <w:r w:rsidR="00B2729B">
        <w:t xml:space="preserve"> finer granularity </w:t>
      </w:r>
      <w:r w:rsidR="00C27F0E">
        <w:t xml:space="preserve">at the CN </w:t>
      </w:r>
      <w:r w:rsidR="00B2729B">
        <w:t>than RAN</w:t>
      </w:r>
      <w:r w:rsidR="00C27F0E">
        <w:t xml:space="preserve">, </w:t>
      </w:r>
      <w:r w:rsidR="00C10B86">
        <w:t xml:space="preserve">by </w:t>
      </w:r>
      <w:r w:rsidR="00C27F0E">
        <w:t>allow</w:t>
      </w:r>
      <w:r w:rsidR="00EC0071">
        <w:t>ing</w:t>
      </w:r>
      <w:r w:rsidR="00C27F0E">
        <w:t xml:space="preserve">the </w:t>
      </w:r>
      <w:r w:rsidR="00B2729B">
        <w:t xml:space="preserve">RAN </w:t>
      </w:r>
      <w:r w:rsidR="00C27F0E">
        <w:t xml:space="preserve">to </w:t>
      </w:r>
      <w:r w:rsidR="00B2729B">
        <w:t xml:space="preserve">aggregate multiple codepoints from CN into </w:t>
      </w:r>
      <w:r w:rsidR="00EC0071">
        <w:t xml:space="preserve">the </w:t>
      </w:r>
      <w:r w:rsidR="00B2729B">
        <w:t xml:space="preserve">same subgroup set, </w:t>
      </w:r>
      <w:r w:rsidR="00EC0071">
        <w:t xml:space="preserve">or having </w:t>
      </w:r>
      <w:r w:rsidR="00B2729B">
        <w:t xml:space="preserve">finer granularity </w:t>
      </w:r>
      <w:r w:rsidR="00EC0071">
        <w:t xml:space="preserve">at RAN </w:t>
      </w:r>
      <w:r w:rsidR="00310278">
        <w:t>than CN</w:t>
      </w:r>
      <w:r w:rsidR="00EC0071">
        <w:t>,</w:t>
      </w:r>
      <w:r w:rsidR="00310278">
        <w:t xml:space="preserve"> </w:t>
      </w:r>
      <w:r w:rsidR="00EC0071">
        <w:t xml:space="preserve">allowing the </w:t>
      </w:r>
      <w:r w:rsidR="00310278">
        <w:t xml:space="preserve">RAN </w:t>
      </w:r>
      <w:r w:rsidR="00EC0071">
        <w:t xml:space="preserve">to use </w:t>
      </w:r>
      <w:r w:rsidR="00310278">
        <w:t xml:space="preserve">multiple subgroups </w:t>
      </w:r>
      <w:r w:rsidR="00EC0071">
        <w:t>for each</w:t>
      </w:r>
      <w:r w:rsidR="00310278">
        <w:t xml:space="preserve"> subgroup set or codepoint </w:t>
      </w:r>
      <w:r w:rsidR="00EC0071">
        <w:t xml:space="preserve">received </w:t>
      </w:r>
      <w:r w:rsidR="00310278">
        <w:t>from CN.</w:t>
      </w:r>
      <w:r w:rsidR="00B63570">
        <w:rPr>
          <w:rFonts w:hint="eastAsia"/>
          <w:lang w:eastAsia="zh-CN"/>
        </w:rPr>
        <w:t xml:space="preserve"> </w:t>
      </w:r>
    </w:p>
    <w:p w14:paraId="1D750796" w14:textId="1E9B5A34" w:rsidR="001B5131" w:rsidRPr="00B63570" w:rsidRDefault="00EC0071" w:rsidP="00FA61D2">
      <w:pPr>
        <w:spacing w:before="120"/>
        <w:jc w:val="both"/>
        <w:rPr>
          <w:lang w:eastAsia="zh-CN"/>
        </w:rPr>
      </w:pPr>
      <w:r>
        <w:rPr>
          <w:lang w:eastAsia="zh-CN"/>
        </w:rPr>
        <w:t>Also, the framework</w:t>
      </w:r>
      <w:r w:rsidR="00B63570">
        <w:rPr>
          <w:lang w:eastAsia="zh-CN"/>
        </w:rPr>
        <w:t xml:space="preserve"> leaves enough flexibility to the </w:t>
      </w:r>
      <w:r w:rsidR="00B63570">
        <w:rPr>
          <w:rFonts w:hint="eastAsia"/>
          <w:lang w:eastAsia="zh-CN"/>
        </w:rPr>
        <w:t>NW</w:t>
      </w:r>
      <w:r w:rsidR="00B63570">
        <w:rPr>
          <w:lang w:eastAsia="zh-CN"/>
        </w:rPr>
        <w:t xml:space="preserve"> </w:t>
      </w:r>
      <w:r w:rsidR="00C27F0E">
        <w:rPr>
          <w:lang w:eastAsia="zh-CN"/>
        </w:rPr>
        <w:t xml:space="preserve">to decide </w:t>
      </w:r>
      <w:r w:rsidR="00B63570">
        <w:rPr>
          <w:lang w:eastAsia="zh-CN"/>
        </w:rPr>
        <w:t>which characteristic</w:t>
      </w:r>
      <w:r w:rsidR="00C27F0E">
        <w:rPr>
          <w:lang w:eastAsia="zh-CN"/>
        </w:rPr>
        <w:t>s</w:t>
      </w:r>
      <w:r w:rsidR="00B63570">
        <w:rPr>
          <w:lang w:eastAsia="zh-CN"/>
        </w:rPr>
        <w:t xml:space="preserve"> it </w:t>
      </w:r>
      <w:r w:rsidR="00C034EE">
        <w:rPr>
          <w:lang w:eastAsia="zh-CN"/>
        </w:rPr>
        <w:t>prefers</w:t>
      </w:r>
      <w:r w:rsidR="00B63570">
        <w:rPr>
          <w:lang w:eastAsia="zh-CN"/>
        </w:rPr>
        <w:t xml:space="preserve"> to assign </w:t>
      </w:r>
      <w:r w:rsidR="00C27F0E">
        <w:rPr>
          <w:lang w:eastAsia="zh-CN"/>
        </w:rPr>
        <w:t xml:space="preserve">to </w:t>
      </w:r>
      <w:r w:rsidR="00B63570">
        <w:rPr>
          <w:lang w:eastAsia="zh-CN"/>
        </w:rPr>
        <w:t xml:space="preserve">the </w:t>
      </w:r>
      <w:r w:rsidR="00C27F0E">
        <w:rPr>
          <w:lang w:eastAsia="zh-CN"/>
        </w:rPr>
        <w:t xml:space="preserve">different </w:t>
      </w:r>
      <w:r w:rsidR="00B63570">
        <w:rPr>
          <w:lang w:eastAsia="zh-CN"/>
        </w:rPr>
        <w:t>subgroups.</w:t>
      </w:r>
      <w:r w:rsidR="001B5131">
        <w:rPr>
          <w:lang w:eastAsia="zh-CN"/>
        </w:rPr>
        <w:t xml:space="preserve"> </w:t>
      </w:r>
      <w:r w:rsidR="00B65BB9">
        <w:rPr>
          <w:lang w:eastAsia="zh-CN"/>
        </w:rPr>
        <w:t xml:space="preserve">For example, </w:t>
      </w:r>
      <w:r w:rsidR="00B65BB9">
        <w:t>i</w:t>
      </w:r>
      <w:r w:rsidR="001B5131">
        <w:t xml:space="preserve">t could enable </w:t>
      </w:r>
      <w:r w:rsidR="00B65BB9">
        <w:t xml:space="preserve">a </w:t>
      </w:r>
      <w:r w:rsidR="001B5131">
        <w:t xml:space="preserve">simpler CN implementation without mandating it to estimate paging probability of all the UEs if it chooses to use other characteristics. </w:t>
      </w:r>
      <w:r w:rsidR="00B65BB9">
        <w:t>The existing</w:t>
      </w:r>
      <w:r w:rsidR="001B5131">
        <w:t xml:space="preserve"> IE or </w:t>
      </w:r>
      <w:r w:rsidR="00B65BB9">
        <w:t>a new</w:t>
      </w:r>
      <w:r w:rsidR="001B5131">
        <w:t xml:space="preserve"> IE could be defined </w:t>
      </w:r>
      <w:r w:rsidR="00B65BB9">
        <w:t xml:space="preserve">to indicate the </w:t>
      </w:r>
      <w:r w:rsidR="001B5131">
        <w:t>different characteristics</w:t>
      </w:r>
      <w:r w:rsidR="00B65BB9">
        <w:t>,</w:t>
      </w:r>
      <w:r w:rsidR="001B5131">
        <w:t xml:space="preserve"> which is up to RAN3 to decide. </w:t>
      </w:r>
    </w:p>
    <w:p w14:paraId="0109AA38" w14:textId="786BD914" w:rsidR="006614D1" w:rsidRDefault="004255FA" w:rsidP="004255FA">
      <w:pPr>
        <w:spacing w:before="120"/>
        <w:jc w:val="both"/>
      </w:pPr>
      <w:r w:rsidRPr="00810AA0">
        <w:rPr>
          <w:b/>
          <w:bCs/>
        </w:rPr>
        <w:t xml:space="preserve">Proposal </w:t>
      </w:r>
      <w:r>
        <w:rPr>
          <w:b/>
          <w:bCs/>
        </w:rPr>
        <w:t>1</w:t>
      </w:r>
      <w:r w:rsidRPr="00810AA0">
        <w:rPr>
          <w:b/>
          <w:bCs/>
        </w:rPr>
        <w:t>:</w:t>
      </w:r>
      <w:r>
        <w:t xml:space="preserve"> </w:t>
      </w:r>
      <w:r w:rsidR="00B65BB9">
        <w:t xml:space="preserve">The </w:t>
      </w:r>
      <w:r w:rsidR="0029034E">
        <w:t>NB-IoT</w:t>
      </w:r>
      <w:r w:rsidR="006614D1">
        <w:t xml:space="preserve"> framework is reused</w:t>
      </w:r>
      <w:r w:rsidR="00B564F1">
        <w:t xml:space="preserve"> for subgroup assignment</w:t>
      </w:r>
      <w:r w:rsidR="006614D1">
        <w:t xml:space="preserve">: </w:t>
      </w:r>
    </w:p>
    <w:p w14:paraId="4AF2FA3E" w14:textId="67CD371E" w:rsidR="00AC4294" w:rsidRDefault="00AC4294" w:rsidP="00AC4294">
      <w:pPr>
        <w:pStyle w:val="ListParagraph"/>
        <w:numPr>
          <w:ilvl w:val="0"/>
          <w:numId w:val="12"/>
        </w:numPr>
        <w:spacing w:before="120"/>
        <w:jc w:val="both"/>
      </w:pPr>
      <w:r>
        <w:t>CN provides subgrouping related information</w:t>
      </w:r>
      <w:r w:rsidR="00464A20">
        <w:t xml:space="preserve"> </w:t>
      </w:r>
      <w:r w:rsidR="00B65BB9">
        <w:t xml:space="preserve">should allow to divide </w:t>
      </w:r>
      <w:r w:rsidR="00464A20">
        <w:t xml:space="preserve">the </w:t>
      </w:r>
      <w:r>
        <w:t>UEs into different subgroup set</w:t>
      </w:r>
      <w:r w:rsidR="007A6538">
        <w:t>s</w:t>
      </w:r>
      <w:r>
        <w:t xml:space="preserve"> </w:t>
      </w:r>
      <w:r w:rsidR="00B65BB9">
        <w:t xml:space="preserve">with the aim </w:t>
      </w:r>
      <w:r>
        <w:t>to isolate UEs with different characteristic</w:t>
      </w:r>
      <w:r w:rsidR="00A47255">
        <w:t xml:space="preserve"> (not necessarily limited to paging probability)</w:t>
      </w:r>
      <w:r>
        <w:t xml:space="preserve">, </w:t>
      </w:r>
      <w:r w:rsidR="00B65BB9">
        <w:t>rather</w:t>
      </w:r>
      <w:r>
        <w:t xml:space="preserve"> than assigning the subgroup ID itself.</w:t>
      </w:r>
    </w:p>
    <w:p w14:paraId="6676FADB" w14:textId="46C87694" w:rsidR="00AC4294" w:rsidRDefault="00AC4294" w:rsidP="00AC4294">
      <w:pPr>
        <w:pStyle w:val="ListParagraph"/>
        <w:numPr>
          <w:ilvl w:val="0"/>
          <w:numId w:val="12"/>
        </w:numPr>
        <w:spacing w:before="120"/>
        <w:jc w:val="both"/>
      </w:pPr>
      <w:r>
        <w:t xml:space="preserve">RAN broadcasts necessary configurations to split the UEs into different </w:t>
      </w:r>
      <w:r w:rsidR="00B65BB9">
        <w:t xml:space="preserve">RAN-level </w:t>
      </w:r>
      <w:r>
        <w:t xml:space="preserve">subsets, as well as </w:t>
      </w:r>
      <w:r w:rsidR="00B65BB9">
        <w:t xml:space="preserve">in a </w:t>
      </w:r>
      <w:r>
        <w:t xml:space="preserve">number of subgroups within </w:t>
      </w:r>
      <w:r w:rsidR="00B65BB9">
        <w:t xml:space="preserve">each </w:t>
      </w:r>
      <w:r>
        <w:t>subset.</w:t>
      </w:r>
    </w:p>
    <w:p w14:paraId="7D8297B2" w14:textId="47DA2C6D" w:rsidR="00AC4294" w:rsidRDefault="00AC4294" w:rsidP="00C51ADC">
      <w:pPr>
        <w:pStyle w:val="ListParagraph"/>
        <w:numPr>
          <w:ilvl w:val="1"/>
          <w:numId w:val="15"/>
        </w:numPr>
        <w:spacing w:before="120"/>
        <w:jc w:val="both"/>
      </w:pPr>
      <w:r>
        <w:t xml:space="preserve">gNB and UE derive the subgroup set </w:t>
      </w:r>
      <w:r w:rsidR="00B65BB9">
        <w:t>based on</w:t>
      </w:r>
      <w:r>
        <w:t xml:space="preserve"> the subgrouping set configuration </w:t>
      </w:r>
      <w:r w:rsidR="000379D0">
        <w:t xml:space="preserve">transmitted by the gNB </w:t>
      </w:r>
      <w:r>
        <w:t>and the subgrouping related information from CN.</w:t>
      </w:r>
    </w:p>
    <w:p w14:paraId="16027656" w14:textId="1BD8E996" w:rsidR="00AC4294" w:rsidRDefault="00AC4294" w:rsidP="00C51ADC">
      <w:pPr>
        <w:pStyle w:val="ListParagraph"/>
        <w:numPr>
          <w:ilvl w:val="1"/>
          <w:numId w:val="15"/>
        </w:numPr>
        <w:spacing w:before="120"/>
        <w:jc w:val="both"/>
      </w:pPr>
      <w:r>
        <w:t xml:space="preserve">gNB and UE derive the subgrouping ID </w:t>
      </w:r>
      <w:r w:rsidR="000379D0">
        <w:t xml:space="preserve">assigned to </w:t>
      </w:r>
      <w:r>
        <w:t xml:space="preserve">the UE within the </w:t>
      </w:r>
      <w:r w:rsidR="000379D0">
        <w:t>UE’s</w:t>
      </w:r>
      <w:r>
        <w:t xml:space="preserve"> subgroup set based on </w:t>
      </w:r>
      <w:r w:rsidR="000379D0">
        <w:t xml:space="preserve">the </w:t>
      </w:r>
      <w:r>
        <w:t xml:space="preserve">UE ID and number of subgroups in the subset configuration. </w:t>
      </w:r>
    </w:p>
    <w:p w14:paraId="6D795DC5" w14:textId="56349FB8" w:rsidR="00E86F4A" w:rsidRDefault="004D1FD7" w:rsidP="00FA61D2">
      <w:pPr>
        <w:spacing w:before="120"/>
        <w:jc w:val="both"/>
        <w:rPr>
          <w:b/>
          <w:bCs/>
        </w:rPr>
      </w:pPr>
      <w:r>
        <w:t>Then</w:t>
      </w:r>
      <w:r w:rsidR="00E86F4A">
        <w:t xml:space="preserve"> RAN </w:t>
      </w:r>
      <w:r>
        <w:t xml:space="preserve">can </w:t>
      </w:r>
      <w:r w:rsidR="00E86F4A">
        <w:t>decid</w:t>
      </w:r>
      <w:r w:rsidR="006D5FDA">
        <w:t xml:space="preserve">e </w:t>
      </w:r>
      <w:r w:rsidR="000379D0">
        <w:t xml:space="preserve">the </w:t>
      </w:r>
      <w:r w:rsidR="006D5FDA">
        <w:t>total</w:t>
      </w:r>
      <w:r w:rsidR="00E86F4A">
        <w:t xml:space="preserve"> number of subgroups </w:t>
      </w:r>
      <w:r w:rsidR="00CB715C">
        <w:t xml:space="preserve">according to its </w:t>
      </w:r>
      <w:r w:rsidR="0053304F">
        <w:t xml:space="preserve">PEI and PO configurations, </w:t>
      </w:r>
      <w:r w:rsidR="00CB715C">
        <w:t xml:space="preserve">coverage, </w:t>
      </w:r>
      <w:r w:rsidR="00AB4FB1">
        <w:t xml:space="preserve">and </w:t>
      </w:r>
      <w:r w:rsidR="0053304F">
        <w:t xml:space="preserve">system </w:t>
      </w:r>
      <w:r w:rsidR="00CB715C">
        <w:t>load</w:t>
      </w:r>
      <w:r w:rsidR="00AB4FB1">
        <w:t>,</w:t>
      </w:r>
      <w:r w:rsidR="00CB715C">
        <w:t xml:space="preserve"> etc. </w:t>
      </w:r>
      <w:r w:rsidR="004B4D4C">
        <w:t>Thus</w:t>
      </w:r>
      <w:r w:rsidR="001138D2">
        <w:t>,</w:t>
      </w:r>
      <w:r w:rsidR="004B4D4C">
        <w:t xml:space="preserve"> there is no need to limit the</w:t>
      </w:r>
      <w:r w:rsidR="00E86F4A">
        <w:t xml:space="preserve"> number of subgroups for the whole TA.</w:t>
      </w:r>
    </w:p>
    <w:p w14:paraId="5DEBE957" w14:textId="39270E05" w:rsidR="00FA61D2" w:rsidRDefault="009F7EC0" w:rsidP="00FA61D2">
      <w:pPr>
        <w:spacing w:before="120"/>
        <w:jc w:val="both"/>
      </w:pPr>
      <w:r w:rsidRPr="009A2BD1">
        <w:rPr>
          <w:b/>
          <w:bCs/>
        </w:rPr>
        <w:t xml:space="preserve">Proposal </w:t>
      </w:r>
      <w:r w:rsidR="003274EA">
        <w:rPr>
          <w:b/>
          <w:bCs/>
        </w:rPr>
        <w:t>2</w:t>
      </w:r>
      <w:r w:rsidRPr="009A2BD1">
        <w:rPr>
          <w:b/>
          <w:bCs/>
        </w:rPr>
        <w:t>:</w:t>
      </w:r>
      <w:r>
        <w:t xml:space="preserve"> </w:t>
      </w:r>
      <w:r w:rsidR="00C3295F">
        <w:t>RAN decides the number of subgroup</w:t>
      </w:r>
      <w:r w:rsidR="00204DFD">
        <w:t xml:space="preserve"> </w:t>
      </w:r>
      <w:r w:rsidR="00C3295F">
        <w:t>set</w:t>
      </w:r>
      <w:r w:rsidR="00204DFD">
        <w:t>s</w:t>
      </w:r>
      <w:r w:rsidR="00C3295F">
        <w:t xml:space="preserve"> and number of subgroups </w:t>
      </w:r>
      <w:r w:rsidR="00CA70F7">
        <w:t>within each set</w:t>
      </w:r>
      <w:r w:rsidR="00601510">
        <w:t>, i.e. no</w:t>
      </w:r>
      <w:r w:rsidR="001138D2">
        <w:t xml:space="preserve"> need to have the</w:t>
      </w:r>
      <w:r w:rsidR="00601510">
        <w:t xml:space="preserve"> </w:t>
      </w:r>
      <w:r w:rsidR="004255FA">
        <w:t>limit</w:t>
      </w:r>
      <w:r w:rsidR="002F45DB">
        <w:t xml:space="preserve">ation </w:t>
      </w:r>
      <w:r w:rsidR="000379D0">
        <w:t xml:space="preserve">that the </w:t>
      </w:r>
      <w:r w:rsidR="00FA61D2">
        <w:t xml:space="preserve">same number of subgroups </w:t>
      </w:r>
      <w:r w:rsidR="000379D0">
        <w:t xml:space="preserve">should be used in </w:t>
      </w:r>
      <w:r w:rsidR="00FA61D2">
        <w:t>all the cells within the TA.</w:t>
      </w:r>
    </w:p>
    <w:p w14:paraId="3A3D0096" w14:textId="607341F0" w:rsidR="00594F64" w:rsidRDefault="00941C7E" w:rsidP="00941C7E">
      <w:r>
        <w:t>If CN does not support subgrouping</w:t>
      </w:r>
      <w:r w:rsidR="00594F64">
        <w:t xml:space="preserve"> and RAN supports it</w:t>
      </w:r>
      <w:r>
        <w:t xml:space="preserve">, the </w:t>
      </w:r>
      <w:r w:rsidR="000379D0">
        <w:t>UE’s</w:t>
      </w:r>
      <w:r>
        <w:t xml:space="preserve"> subgroup should be based on only UE-ID for all the UEs.</w:t>
      </w:r>
    </w:p>
    <w:p w14:paraId="1A2946B3" w14:textId="1A65165D" w:rsidR="00941C7E" w:rsidRDefault="00941C7E" w:rsidP="00941C7E">
      <w:r>
        <w:t>While if CN supports subgrouping, but it does not assign subgrouping related information to all the UEs</w:t>
      </w:r>
      <w:r w:rsidR="00B823AB">
        <w:t xml:space="preserve"> supporting subgrouping</w:t>
      </w:r>
      <w:r w:rsidR="008D21C3">
        <w:t xml:space="preserve"> (if it is not mandatory)</w:t>
      </w:r>
      <w:r>
        <w:t>, the UEs without explicit subgroup related assignment from CN should be allocated to the same subgroup set separate</w:t>
      </w:r>
      <w:r w:rsidR="0060148E">
        <w:t>d</w:t>
      </w:r>
      <w:r>
        <w:t xml:space="preserve"> from the ones with explicit </w:t>
      </w:r>
      <w:r w:rsidR="0060148E">
        <w:t>CN</w:t>
      </w:r>
      <w:r>
        <w:t xml:space="preserve"> assignment</w:t>
      </w:r>
      <w:r w:rsidR="00812DD9">
        <w:t xml:space="preserve"> or in a default subgroup</w:t>
      </w:r>
      <w:r>
        <w:t xml:space="preserve">. </w:t>
      </w:r>
    </w:p>
    <w:p w14:paraId="3C89FA46" w14:textId="33179BB8" w:rsidR="00941C7E" w:rsidRPr="00023D53" w:rsidRDefault="00941C7E" w:rsidP="00941C7E">
      <w:pPr>
        <w:rPr>
          <w:b/>
          <w:bCs/>
        </w:rPr>
      </w:pPr>
      <w:r w:rsidRPr="006713FC">
        <w:rPr>
          <w:b/>
          <w:bCs/>
        </w:rPr>
        <w:t xml:space="preserve">Proposal </w:t>
      </w:r>
      <w:r>
        <w:rPr>
          <w:b/>
          <w:bCs/>
        </w:rPr>
        <w:t>3</w:t>
      </w:r>
      <w:r w:rsidRPr="006713FC">
        <w:rPr>
          <w:b/>
          <w:bCs/>
        </w:rPr>
        <w:t>:</w:t>
      </w:r>
      <w:r>
        <w:t xml:space="preserve"> The UEs without explicit subgroup related assignment from CN should be allocated to the same subgroup set separate</w:t>
      </w:r>
      <w:r w:rsidR="0060148E">
        <w:t>d</w:t>
      </w:r>
      <w:r>
        <w:t xml:space="preserve"> from the UEs with explicit assignment</w:t>
      </w:r>
      <w:r w:rsidR="00812DD9">
        <w:t xml:space="preserve"> or in a default </w:t>
      </w:r>
      <w:r w:rsidR="00AF48CD">
        <w:t>subgroup</w:t>
      </w:r>
      <w:r>
        <w:t>.</w:t>
      </w:r>
    </w:p>
    <w:p w14:paraId="5FF2457F" w14:textId="085FE22B" w:rsidR="00A209D6" w:rsidRPr="006E13D1" w:rsidRDefault="009845A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F6CC317" w14:textId="4CE97DD0" w:rsidR="00E01E55" w:rsidRDefault="00E01E55" w:rsidP="00E01E55">
      <w:pPr>
        <w:spacing w:before="120"/>
        <w:jc w:val="both"/>
      </w:pPr>
      <w:r>
        <w:t>In this contribution, we discuss further details on roles of CN and RAN for subgrouping assignment with the following proposals proposed:</w:t>
      </w:r>
    </w:p>
    <w:p w14:paraId="0CBAAB5D" w14:textId="6FF95519" w:rsidR="00D6046F" w:rsidRDefault="00D6046F" w:rsidP="00D6046F">
      <w:pPr>
        <w:spacing w:before="120"/>
        <w:jc w:val="both"/>
      </w:pPr>
      <w:r w:rsidRPr="00810AA0">
        <w:rPr>
          <w:b/>
          <w:bCs/>
        </w:rPr>
        <w:t xml:space="preserve">Proposal </w:t>
      </w:r>
      <w:r>
        <w:rPr>
          <w:b/>
          <w:bCs/>
        </w:rPr>
        <w:t>1</w:t>
      </w:r>
      <w:r w:rsidRPr="00810AA0">
        <w:rPr>
          <w:b/>
          <w:bCs/>
        </w:rPr>
        <w:t>:</w:t>
      </w:r>
      <w:r>
        <w:t xml:space="preserve"> NB-IoT framework is reused</w:t>
      </w:r>
      <w:r w:rsidR="00505982" w:rsidRPr="00505982">
        <w:t xml:space="preserve"> </w:t>
      </w:r>
      <w:r w:rsidR="00505982">
        <w:t>for subgroup assignment</w:t>
      </w:r>
      <w:r>
        <w:t xml:space="preserve">: </w:t>
      </w:r>
    </w:p>
    <w:p w14:paraId="704CD78A" w14:textId="0EB9F1AD" w:rsidR="00D6046F" w:rsidRDefault="00D6046F" w:rsidP="00D6046F">
      <w:pPr>
        <w:pStyle w:val="ListParagraph"/>
        <w:numPr>
          <w:ilvl w:val="0"/>
          <w:numId w:val="14"/>
        </w:numPr>
        <w:spacing w:before="120"/>
        <w:jc w:val="both"/>
      </w:pPr>
      <w:r>
        <w:t>CN provides subgrouping related information to put the UEs into different subgroup sets to isolate UEs with different characteristic</w:t>
      </w:r>
      <w:r w:rsidR="00A47255">
        <w:t xml:space="preserve"> (not necessarily limited to paging probability)</w:t>
      </w:r>
      <w:r>
        <w:t>, other than assigning the subgroup ID itself.</w:t>
      </w:r>
    </w:p>
    <w:p w14:paraId="4EF5B148" w14:textId="77777777" w:rsidR="00D6046F" w:rsidRDefault="00D6046F" w:rsidP="00D6046F">
      <w:pPr>
        <w:pStyle w:val="ListParagraph"/>
        <w:numPr>
          <w:ilvl w:val="0"/>
          <w:numId w:val="14"/>
        </w:numPr>
        <w:spacing w:before="120"/>
        <w:jc w:val="both"/>
      </w:pPr>
      <w:r>
        <w:t>RAN broadcasts necessary configurations to split the UEs into different subsets, as well as number of subgroups within a subgroup subset.</w:t>
      </w:r>
    </w:p>
    <w:p w14:paraId="429F0394" w14:textId="77777777" w:rsidR="00D6046F" w:rsidRDefault="00D6046F" w:rsidP="00D6046F">
      <w:pPr>
        <w:pStyle w:val="ListParagraph"/>
        <w:numPr>
          <w:ilvl w:val="1"/>
          <w:numId w:val="14"/>
        </w:numPr>
        <w:spacing w:before="120"/>
        <w:jc w:val="both"/>
      </w:pPr>
      <w:r>
        <w:t>gNB and the UE derive the subgroup set according to the subgrouping set configuration and the subgrouping related information from CN.</w:t>
      </w:r>
    </w:p>
    <w:p w14:paraId="6959183C" w14:textId="77777777" w:rsidR="00D6046F" w:rsidRDefault="00D6046F" w:rsidP="00D6046F">
      <w:pPr>
        <w:pStyle w:val="ListParagraph"/>
        <w:numPr>
          <w:ilvl w:val="1"/>
          <w:numId w:val="14"/>
        </w:numPr>
        <w:spacing w:before="120"/>
        <w:jc w:val="both"/>
      </w:pPr>
      <w:r>
        <w:t xml:space="preserve">gNB and the UE derive the subgrouping ID for the UE within the subgroup set based on UE ID and number of subgroups in the subset configuration. </w:t>
      </w:r>
    </w:p>
    <w:p w14:paraId="1A9E8ABA" w14:textId="1479129D" w:rsidR="005E3784" w:rsidRDefault="005E3784" w:rsidP="005A2B96">
      <w:pPr>
        <w:spacing w:before="120"/>
        <w:jc w:val="both"/>
      </w:pPr>
      <w:r w:rsidRPr="009A2BD1">
        <w:rPr>
          <w:b/>
          <w:bCs/>
        </w:rPr>
        <w:t xml:space="preserve">Proposal </w:t>
      </w:r>
      <w:r>
        <w:rPr>
          <w:b/>
          <w:bCs/>
        </w:rPr>
        <w:t>2</w:t>
      </w:r>
      <w:r w:rsidRPr="009A2BD1">
        <w:rPr>
          <w:b/>
          <w:bCs/>
        </w:rPr>
        <w:t>:</w:t>
      </w:r>
      <w:r>
        <w:t xml:space="preserve"> RAN decides the number of subgroup sets and number of subgroups within each set without limitation of same number of subgroups for all the cells within the TA.</w:t>
      </w:r>
    </w:p>
    <w:p w14:paraId="4ABC0073" w14:textId="67E887C1" w:rsidR="00EE492D" w:rsidRPr="00023D53" w:rsidRDefault="00EE492D" w:rsidP="00EE492D">
      <w:pPr>
        <w:rPr>
          <w:b/>
          <w:bCs/>
        </w:rPr>
      </w:pPr>
      <w:r w:rsidRPr="006713FC">
        <w:rPr>
          <w:b/>
          <w:bCs/>
        </w:rPr>
        <w:t xml:space="preserve">Proposal </w:t>
      </w:r>
      <w:r>
        <w:rPr>
          <w:b/>
          <w:bCs/>
        </w:rPr>
        <w:t>3</w:t>
      </w:r>
      <w:r w:rsidRPr="006713FC">
        <w:rPr>
          <w:b/>
          <w:bCs/>
        </w:rPr>
        <w:t>:</w:t>
      </w:r>
      <w:r>
        <w:t xml:space="preserve"> The UEs without explicit subgroup related assignment from CN should be allocated to the same subgroup set separate from the ones for the UEs with explicit assignment.</w:t>
      </w:r>
    </w:p>
    <w:p w14:paraId="01742CC9" w14:textId="4360DD02" w:rsidR="00A41A8A" w:rsidRPr="006E13D1" w:rsidRDefault="00A41A8A" w:rsidP="00A41A8A">
      <w:pPr>
        <w:pStyle w:val="Heading1"/>
      </w:pPr>
      <w:r>
        <w:t>Reference</w:t>
      </w:r>
    </w:p>
    <w:p w14:paraId="1D3C20A4" w14:textId="4EE90D1B" w:rsidR="00F677F9" w:rsidRDefault="00F677F9" w:rsidP="00F677F9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R2-21</w:t>
      </w:r>
      <w:r w:rsidR="00352886">
        <w:t>06641</w:t>
      </w:r>
      <w:r>
        <w:t xml:space="preserve">, </w:t>
      </w:r>
      <w:r w:rsidRPr="000F5B45">
        <w:rPr>
          <w:i/>
          <w:iCs/>
        </w:rPr>
        <w:t>RAN2 #113</w:t>
      </w:r>
      <w:r>
        <w:rPr>
          <w:i/>
          <w:iCs/>
        </w:rPr>
        <w:t>bis-</w:t>
      </w:r>
      <w:r w:rsidRPr="000F5B45">
        <w:rPr>
          <w:i/>
          <w:iCs/>
        </w:rPr>
        <w:t>e chairman notes</w:t>
      </w:r>
      <w:r>
        <w:t>, RAN2 Chairman (Mediatek)</w:t>
      </w:r>
    </w:p>
    <w:p w14:paraId="469A2E31" w14:textId="332A1B4E" w:rsidR="00F677F9" w:rsidRDefault="00F677F9" w:rsidP="00F677F9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 xml:space="preserve">R2-21xxxxx, </w:t>
      </w:r>
      <w:r w:rsidRPr="000F5B45">
        <w:rPr>
          <w:i/>
          <w:iCs/>
        </w:rPr>
        <w:t>RAN2 #11</w:t>
      </w:r>
      <w:r>
        <w:rPr>
          <w:i/>
          <w:iCs/>
        </w:rPr>
        <w:t>4</w:t>
      </w:r>
      <w:r w:rsidRPr="000F5B45">
        <w:rPr>
          <w:i/>
          <w:iCs/>
        </w:rPr>
        <w:t>e chairman notes</w:t>
      </w:r>
      <w:r>
        <w:t>, RAN2 Chairman (Mediatek)</w:t>
      </w:r>
    </w:p>
    <w:p w14:paraId="31DD4283" w14:textId="2ED83EDA" w:rsidR="00702D7E" w:rsidRDefault="00702D7E" w:rsidP="00F677F9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702D7E">
        <w:t>R2-2106552</w:t>
      </w:r>
      <w:r>
        <w:t xml:space="preserve">, </w:t>
      </w:r>
      <w:r w:rsidRPr="00702D7E">
        <w:rPr>
          <w:i/>
          <w:iCs/>
        </w:rPr>
        <w:t xml:space="preserve">LS on Paging </w:t>
      </w:r>
      <w:r w:rsidRPr="00BF0D51">
        <w:rPr>
          <w:i/>
          <w:iCs/>
        </w:rPr>
        <w:t xml:space="preserve">Subgrouping, </w:t>
      </w:r>
      <w:r w:rsidR="00BF0D51" w:rsidRPr="00BF0D51">
        <w:rPr>
          <w:i/>
          <w:iCs/>
        </w:rPr>
        <w:t>to RAN3, SA2, CT1</w:t>
      </w:r>
      <w:r w:rsidR="00BF0D51">
        <w:t xml:space="preserve">, </w:t>
      </w:r>
      <w:r>
        <w:t>RAN2</w:t>
      </w:r>
    </w:p>
    <w:p w14:paraId="1A7CF39B" w14:textId="5B9302BF" w:rsidR="00F677F9" w:rsidRDefault="007070F5" w:rsidP="00F677F9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R2-21xxxxx, </w:t>
      </w:r>
      <w:r w:rsidRPr="007070F5">
        <w:rPr>
          <w:i/>
          <w:iCs/>
        </w:rPr>
        <w:t>Summary of [Post114-e][076][ePowSav] Paging SubGrouping</w:t>
      </w:r>
      <w:r>
        <w:t>, CATT</w:t>
      </w:r>
    </w:p>
    <w:p w14:paraId="33625D38" w14:textId="53F1F168" w:rsidR="00193ADD" w:rsidRDefault="00B30BED" w:rsidP="00F677F9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3GPP TS</w:t>
      </w:r>
      <w:r w:rsidR="00193ADD">
        <w:t>36.413</w:t>
      </w:r>
      <w:r>
        <w:t xml:space="preserve">, </w:t>
      </w:r>
      <w:r w:rsidR="0035027C" w:rsidRPr="001F1CA2">
        <w:rPr>
          <w:i/>
          <w:iCs/>
        </w:rPr>
        <w:t>Evolved Universal Terrestrial Radio Access Network (E-UTRAN); S1 Application Protocol (S1AP)</w:t>
      </w:r>
    </w:p>
    <w:p w14:paraId="68F91E01" w14:textId="627C41B7" w:rsidR="00193ADD" w:rsidRPr="0035723F" w:rsidRDefault="00B30BED" w:rsidP="00F677F9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3GPP TS</w:t>
      </w:r>
      <w:r w:rsidR="00193ADD">
        <w:t>36.304</w:t>
      </w:r>
      <w:r w:rsidR="008D6F79">
        <w:t xml:space="preserve">, </w:t>
      </w:r>
      <w:r w:rsidR="0035027C" w:rsidRPr="001F1CA2">
        <w:rPr>
          <w:i/>
          <w:iCs/>
        </w:rPr>
        <w:t>Evolved Universal Terrestrial Radio Access (E-UTRA); User Equipment (UE) procedures in idle mode</w:t>
      </w:r>
    </w:p>
    <w:p w14:paraId="66846DC6" w14:textId="77777777" w:rsidR="00A41A8A" w:rsidRPr="00F500B1" w:rsidRDefault="00A41A8A" w:rsidP="00F500B1">
      <w:pPr>
        <w:rPr>
          <w:b/>
          <w:bCs/>
        </w:rPr>
      </w:pPr>
    </w:p>
    <w:sectPr w:rsidR="00A41A8A" w:rsidRPr="00F500B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57440" w14:textId="77777777" w:rsidR="00C0589C" w:rsidRDefault="00C0589C">
      <w:r>
        <w:separator/>
      </w:r>
    </w:p>
  </w:endnote>
  <w:endnote w:type="continuationSeparator" w:id="0">
    <w:p w14:paraId="4F485150" w14:textId="77777777" w:rsidR="00C0589C" w:rsidRDefault="00C0589C">
      <w:r>
        <w:continuationSeparator/>
      </w:r>
    </w:p>
  </w:endnote>
  <w:endnote w:type="continuationNotice" w:id="1">
    <w:p w14:paraId="36AA59CA" w14:textId="77777777" w:rsidR="00C0589C" w:rsidRDefault="00C058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F2198" w14:textId="77777777" w:rsidR="00C0589C" w:rsidRDefault="00C0589C">
      <w:r>
        <w:separator/>
      </w:r>
    </w:p>
  </w:footnote>
  <w:footnote w:type="continuationSeparator" w:id="0">
    <w:p w14:paraId="148E6243" w14:textId="77777777" w:rsidR="00C0589C" w:rsidRDefault="00C0589C">
      <w:r>
        <w:continuationSeparator/>
      </w:r>
    </w:p>
  </w:footnote>
  <w:footnote w:type="continuationNotice" w:id="1">
    <w:p w14:paraId="34EF0416" w14:textId="77777777" w:rsidR="00C0589C" w:rsidRDefault="00C058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B3B77"/>
    <w:multiLevelType w:val="hybridMultilevel"/>
    <w:tmpl w:val="9A902EB6"/>
    <w:lvl w:ilvl="0" w:tplc="F808106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0317A9"/>
    <w:multiLevelType w:val="hybridMultilevel"/>
    <w:tmpl w:val="9A902EB6"/>
    <w:lvl w:ilvl="0" w:tplc="F808106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320082"/>
    <w:multiLevelType w:val="hybridMultilevel"/>
    <w:tmpl w:val="9A902EB6"/>
    <w:lvl w:ilvl="0" w:tplc="F808106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5369BC"/>
    <w:multiLevelType w:val="hybridMultilevel"/>
    <w:tmpl w:val="9A902EB6"/>
    <w:lvl w:ilvl="0" w:tplc="F808106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164F42"/>
    <w:multiLevelType w:val="hybridMultilevel"/>
    <w:tmpl w:val="C84CA276"/>
    <w:lvl w:ilvl="0" w:tplc="F808106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A2670C6"/>
    <w:multiLevelType w:val="hybridMultilevel"/>
    <w:tmpl w:val="9A902EB6"/>
    <w:lvl w:ilvl="0" w:tplc="F808106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4"/>
  </w:num>
  <w:num w:numId="13">
    <w:abstractNumId w:val="2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C51"/>
    <w:rsid w:val="00002FC4"/>
    <w:rsid w:val="0000790C"/>
    <w:rsid w:val="00012DF0"/>
    <w:rsid w:val="00014152"/>
    <w:rsid w:val="00016557"/>
    <w:rsid w:val="00023C40"/>
    <w:rsid w:val="00023D53"/>
    <w:rsid w:val="00027C50"/>
    <w:rsid w:val="00033397"/>
    <w:rsid w:val="000379D0"/>
    <w:rsid w:val="00040095"/>
    <w:rsid w:val="00045A12"/>
    <w:rsid w:val="000627BD"/>
    <w:rsid w:val="00065268"/>
    <w:rsid w:val="00073C9C"/>
    <w:rsid w:val="00080512"/>
    <w:rsid w:val="0008181E"/>
    <w:rsid w:val="00090468"/>
    <w:rsid w:val="00094568"/>
    <w:rsid w:val="00096F8E"/>
    <w:rsid w:val="000A6D3A"/>
    <w:rsid w:val="000B346E"/>
    <w:rsid w:val="000B7BCF"/>
    <w:rsid w:val="000C2D2F"/>
    <w:rsid w:val="000C522B"/>
    <w:rsid w:val="000D58AB"/>
    <w:rsid w:val="000E0102"/>
    <w:rsid w:val="000E330C"/>
    <w:rsid w:val="000E6377"/>
    <w:rsid w:val="000F02BB"/>
    <w:rsid w:val="001047AE"/>
    <w:rsid w:val="001053A7"/>
    <w:rsid w:val="00112F1A"/>
    <w:rsid w:val="001138D2"/>
    <w:rsid w:val="00123521"/>
    <w:rsid w:val="0012440F"/>
    <w:rsid w:val="00137FD6"/>
    <w:rsid w:val="00144FC1"/>
    <w:rsid w:val="00145075"/>
    <w:rsid w:val="0015746C"/>
    <w:rsid w:val="00157686"/>
    <w:rsid w:val="001741A0"/>
    <w:rsid w:val="00175FA0"/>
    <w:rsid w:val="00183096"/>
    <w:rsid w:val="00191AFB"/>
    <w:rsid w:val="00193465"/>
    <w:rsid w:val="00193ADD"/>
    <w:rsid w:val="00194CD0"/>
    <w:rsid w:val="00196835"/>
    <w:rsid w:val="001B49C9"/>
    <w:rsid w:val="001B5131"/>
    <w:rsid w:val="001B782A"/>
    <w:rsid w:val="001C1A4F"/>
    <w:rsid w:val="001C23F4"/>
    <w:rsid w:val="001C4F79"/>
    <w:rsid w:val="001C563F"/>
    <w:rsid w:val="001D189D"/>
    <w:rsid w:val="001D19D1"/>
    <w:rsid w:val="001D1A94"/>
    <w:rsid w:val="001D1B53"/>
    <w:rsid w:val="001D66D2"/>
    <w:rsid w:val="001E093B"/>
    <w:rsid w:val="001E6B33"/>
    <w:rsid w:val="001F168B"/>
    <w:rsid w:val="001F1CA2"/>
    <w:rsid w:val="001F5581"/>
    <w:rsid w:val="001F7831"/>
    <w:rsid w:val="00204045"/>
    <w:rsid w:val="00204DFD"/>
    <w:rsid w:val="0020707A"/>
    <w:rsid w:val="0020712B"/>
    <w:rsid w:val="0022606D"/>
    <w:rsid w:val="00231728"/>
    <w:rsid w:val="00244A05"/>
    <w:rsid w:val="00250404"/>
    <w:rsid w:val="002610D8"/>
    <w:rsid w:val="00266802"/>
    <w:rsid w:val="002747EC"/>
    <w:rsid w:val="002855BF"/>
    <w:rsid w:val="00285E23"/>
    <w:rsid w:val="0029034E"/>
    <w:rsid w:val="002B564E"/>
    <w:rsid w:val="002B72AA"/>
    <w:rsid w:val="002C503D"/>
    <w:rsid w:val="002E027B"/>
    <w:rsid w:val="002E3736"/>
    <w:rsid w:val="002E5D78"/>
    <w:rsid w:val="002F0D22"/>
    <w:rsid w:val="002F45DB"/>
    <w:rsid w:val="002F7476"/>
    <w:rsid w:val="003054CC"/>
    <w:rsid w:val="00310278"/>
    <w:rsid w:val="00311B17"/>
    <w:rsid w:val="00311CED"/>
    <w:rsid w:val="0031572E"/>
    <w:rsid w:val="003172DC"/>
    <w:rsid w:val="00323214"/>
    <w:rsid w:val="00325AE3"/>
    <w:rsid w:val="00326069"/>
    <w:rsid w:val="003274EA"/>
    <w:rsid w:val="00335A69"/>
    <w:rsid w:val="0035027C"/>
    <w:rsid w:val="00352886"/>
    <w:rsid w:val="0035462D"/>
    <w:rsid w:val="0036459E"/>
    <w:rsid w:val="00364B41"/>
    <w:rsid w:val="003669A8"/>
    <w:rsid w:val="00371C30"/>
    <w:rsid w:val="00383096"/>
    <w:rsid w:val="00387068"/>
    <w:rsid w:val="0039346C"/>
    <w:rsid w:val="003A41EF"/>
    <w:rsid w:val="003B40AD"/>
    <w:rsid w:val="003C029E"/>
    <w:rsid w:val="003C28FC"/>
    <w:rsid w:val="003C4E37"/>
    <w:rsid w:val="003C71B4"/>
    <w:rsid w:val="003D1C9B"/>
    <w:rsid w:val="003D6410"/>
    <w:rsid w:val="003E16BE"/>
    <w:rsid w:val="003E1F0D"/>
    <w:rsid w:val="003E2978"/>
    <w:rsid w:val="003F4E28"/>
    <w:rsid w:val="004006E8"/>
    <w:rsid w:val="00401855"/>
    <w:rsid w:val="00406D8B"/>
    <w:rsid w:val="004255FA"/>
    <w:rsid w:val="00434204"/>
    <w:rsid w:val="00446FAD"/>
    <w:rsid w:val="00451D4D"/>
    <w:rsid w:val="00452843"/>
    <w:rsid w:val="004604D7"/>
    <w:rsid w:val="00464A20"/>
    <w:rsid w:val="00465587"/>
    <w:rsid w:val="00470F92"/>
    <w:rsid w:val="004765F8"/>
    <w:rsid w:val="00477455"/>
    <w:rsid w:val="00482470"/>
    <w:rsid w:val="0048750F"/>
    <w:rsid w:val="004A1F7B"/>
    <w:rsid w:val="004B4D4C"/>
    <w:rsid w:val="004C44D2"/>
    <w:rsid w:val="004C639D"/>
    <w:rsid w:val="004D1FD7"/>
    <w:rsid w:val="004D226A"/>
    <w:rsid w:val="004D24EF"/>
    <w:rsid w:val="004D3578"/>
    <w:rsid w:val="004D380D"/>
    <w:rsid w:val="004E098B"/>
    <w:rsid w:val="004E213A"/>
    <w:rsid w:val="004E4342"/>
    <w:rsid w:val="004F4540"/>
    <w:rsid w:val="004F73A7"/>
    <w:rsid w:val="0050012F"/>
    <w:rsid w:val="00503171"/>
    <w:rsid w:val="00505982"/>
    <w:rsid w:val="00506C28"/>
    <w:rsid w:val="00511F36"/>
    <w:rsid w:val="00511FDF"/>
    <w:rsid w:val="00513E72"/>
    <w:rsid w:val="00525E1B"/>
    <w:rsid w:val="0053304F"/>
    <w:rsid w:val="005332E6"/>
    <w:rsid w:val="00534079"/>
    <w:rsid w:val="00534DA0"/>
    <w:rsid w:val="00537E8A"/>
    <w:rsid w:val="00543E6C"/>
    <w:rsid w:val="00554D65"/>
    <w:rsid w:val="005568B7"/>
    <w:rsid w:val="00557773"/>
    <w:rsid w:val="00561FF6"/>
    <w:rsid w:val="005622FC"/>
    <w:rsid w:val="00565087"/>
    <w:rsid w:val="0056573F"/>
    <w:rsid w:val="00571279"/>
    <w:rsid w:val="0058209B"/>
    <w:rsid w:val="00594F64"/>
    <w:rsid w:val="00597591"/>
    <w:rsid w:val="005A2B96"/>
    <w:rsid w:val="005A494F"/>
    <w:rsid w:val="005A49C6"/>
    <w:rsid w:val="005A4A6E"/>
    <w:rsid w:val="005B305B"/>
    <w:rsid w:val="005B48F3"/>
    <w:rsid w:val="005B4EB2"/>
    <w:rsid w:val="005C2CD5"/>
    <w:rsid w:val="005C3B0E"/>
    <w:rsid w:val="005D48F4"/>
    <w:rsid w:val="005E3784"/>
    <w:rsid w:val="005E6C5E"/>
    <w:rsid w:val="005E742E"/>
    <w:rsid w:val="0060148E"/>
    <w:rsid w:val="00601510"/>
    <w:rsid w:val="00605D4E"/>
    <w:rsid w:val="00605F94"/>
    <w:rsid w:val="00611566"/>
    <w:rsid w:val="00641B1A"/>
    <w:rsid w:val="00642961"/>
    <w:rsid w:val="00644877"/>
    <w:rsid w:val="00646D99"/>
    <w:rsid w:val="00654A8E"/>
    <w:rsid w:val="00656910"/>
    <w:rsid w:val="006574C0"/>
    <w:rsid w:val="006614D1"/>
    <w:rsid w:val="006713FC"/>
    <w:rsid w:val="0068552F"/>
    <w:rsid w:val="00696821"/>
    <w:rsid w:val="006A1442"/>
    <w:rsid w:val="006B42A1"/>
    <w:rsid w:val="006C142D"/>
    <w:rsid w:val="006C3DA1"/>
    <w:rsid w:val="006C55A0"/>
    <w:rsid w:val="006C66D8"/>
    <w:rsid w:val="006C6AEF"/>
    <w:rsid w:val="006D1E24"/>
    <w:rsid w:val="006D35DE"/>
    <w:rsid w:val="006D3651"/>
    <w:rsid w:val="006D5FDA"/>
    <w:rsid w:val="006E1057"/>
    <w:rsid w:val="006E1417"/>
    <w:rsid w:val="006E30E8"/>
    <w:rsid w:val="006F6A2C"/>
    <w:rsid w:val="00701DAC"/>
    <w:rsid w:val="00702D7E"/>
    <w:rsid w:val="007069DC"/>
    <w:rsid w:val="007070F5"/>
    <w:rsid w:val="00710201"/>
    <w:rsid w:val="00715412"/>
    <w:rsid w:val="00716ECC"/>
    <w:rsid w:val="00717478"/>
    <w:rsid w:val="0072073A"/>
    <w:rsid w:val="00723292"/>
    <w:rsid w:val="00724CA1"/>
    <w:rsid w:val="00725472"/>
    <w:rsid w:val="00730875"/>
    <w:rsid w:val="007342B5"/>
    <w:rsid w:val="00734A5B"/>
    <w:rsid w:val="00744E76"/>
    <w:rsid w:val="00747F47"/>
    <w:rsid w:val="00751557"/>
    <w:rsid w:val="00754745"/>
    <w:rsid w:val="00757D40"/>
    <w:rsid w:val="007662B5"/>
    <w:rsid w:val="00781F0F"/>
    <w:rsid w:val="00782DEB"/>
    <w:rsid w:val="007851E3"/>
    <w:rsid w:val="0078727C"/>
    <w:rsid w:val="0079049D"/>
    <w:rsid w:val="00793DC5"/>
    <w:rsid w:val="00796823"/>
    <w:rsid w:val="007A2E55"/>
    <w:rsid w:val="007A6538"/>
    <w:rsid w:val="007B10A0"/>
    <w:rsid w:val="007B18D8"/>
    <w:rsid w:val="007C095F"/>
    <w:rsid w:val="007C2DD0"/>
    <w:rsid w:val="007F2E08"/>
    <w:rsid w:val="007F6B3F"/>
    <w:rsid w:val="008007D1"/>
    <w:rsid w:val="008028A4"/>
    <w:rsid w:val="00804CC3"/>
    <w:rsid w:val="008114D8"/>
    <w:rsid w:val="00812DD9"/>
    <w:rsid w:val="00813245"/>
    <w:rsid w:val="00814906"/>
    <w:rsid w:val="00820EAE"/>
    <w:rsid w:val="00824137"/>
    <w:rsid w:val="008248F2"/>
    <w:rsid w:val="00833179"/>
    <w:rsid w:val="00836B12"/>
    <w:rsid w:val="00840DE0"/>
    <w:rsid w:val="008553F5"/>
    <w:rsid w:val="008607A8"/>
    <w:rsid w:val="0086354A"/>
    <w:rsid w:val="00874940"/>
    <w:rsid w:val="008768CA"/>
    <w:rsid w:val="00877710"/>
    <w:rsid w:val="00877EF9"/>
    <w:rsid w:val="00880559"/>
    <w:rsid w:val="008A024A"/>
    <w:rsid w:val="008B07C1"/>
    <w:rsid w:val="008B1140"/>
    <w:rsid w:val="008B5306"/>
    <w:rsid w:val="008C2E2A"/>
    <w:rsid w:val="008C3057"/>
    <w:rsid w:val="008C4534"/>
    <w:rsid w:val="008D21C3"/>
    <w:rsid w:val="008D2E4D"/>
    <w:rsid w:val="008D6F79"/>
    <w:rsid w:val="008E1179"/>
    <w:rsid w:val="008E6803"/>
    <w:rsid w:val="008F0FCE"/>
    <w:rsid w:val="008F2FAF"/>
    <w:rsid w:val="008F37AA"/>
    <w:rsid w:val="008F396F"/>
    <w:rsid w:val="008F3DCD"/>
    <w:rsid w:val="0090271F"/>
    <w:rsid w:val="00902DB9"/>
    <w:rsid w:val="009040BE"/>
    <w:rsid w:val="0090466A"/>
    <w:rsid w:val="00911CC1"/>
    <w:rsid w:val="00923655"/>
    <w:rsid w:val="00936071"/>
    <w:rsid w:val="009376CD"/>
    <w:rsid w:val="00940212"/>
    <w:rsid w:val="00941C7E"/>
    <w:rsid w:val="00942EC2"/>
    <w:rsid w:val="00953174"/>
    <w:rsid w:val="00961B32"/>
    <w:rsid w:val="00962509"/>
    <w:rsid w:val="00970DB3"/>
    <w:rsid w:val="00974BB0"/>
    <w:rsid w:val="00974E45"/>
    <w:rsid w:val="00975BCD"/>
    <w:rsid w:val="00981AC5"/>
    <w:rsid w:val="009845AB"/>
    <w:rsid w:val="00984AEE"/>
    <w:rsid w:val="00991B9A"/>
    <w:rsid w:val="009928A9"/>
    <w:rsid w:val="009A0AF3"/>
    <w:rsid w:val="009A2BD1"/>
    <w:rsid w:val="009B07CD"/>
    <w:rsid w:val="009C19E9"/>
    <w:rsid w:val="009D74A6"/>
    <w:rsid w:val="009E0E87"/>
    <w:rsid w:val="009E4640"/>
    <w:rsid w:val="009F7EC0"/>
    <w:rsid w:val="00A10F02"/>
    <w:rsid w:val="00A137B4"/>
    <w:rsid w:val="00A204CA"/>
    <w:rsid w:val="00A209D6"/>
    <w:rsid w:val="00A22738"/>
    <w:rsid w:val="00A33872"/>
    <w:rsid w:val="00A37B99"/>
    <w:rsid w:val="00A41A8A"/>
    <w:rsid w:val="00A430EC"/>
    <w:rsid w:val="00A47255"/>
    <w:rsid w:val="00A4763C"/>
    <w:rsid w:val="00A53724"/>
    <w:rsid w:val="00A54B2B"/>
    <w:rsid w:val="00A608BB"/>
    <w:rsid w:val="00A62FB8"/>
    <w:rsid w:val="00A82346"/>
    <w:rsid w:val="00A90FD7"/>
    <w:rsid w:val="00A9671C"/>
    <w:rsid w:val="00AA10AD"/>
    <w:rsid w:val="00AA1553"/>
    <w:rsid w:val="00AA2BDE"/>
    <w:rsid w:val="00AB00CC"/>
    <w:rsid w:val="00AB4FB1"/>
    <w:rsid w:val="00AB5380"/>
    <w:rsid w:val="00AB6F36"/>
    <w:rsid w:val="00AC4294"/>
    <w:rsid w:val="00AE4764"/>
    <w:rsid w:val="00AF05C3"/>
    <w:rsid w:val="00AF48CD"/>
    <w:rsid w:val="00B0438D"/>
    <w:rsid w:val="00B0494B"/>
    <w:rsid w:val="00B05380"/>
    <w:rsid w:val="00B05962"/>
    <w:rsid w:val="00B05AC4"/>
    <w:rsid w:val="00B142E4"/>
    <w:rsid w:val="00B15449"/>
    <w:rsid w:val="00B16C2F"/>
    <w:rsid w:val="00B2729B"/>
    <w:rsid w:val="00B27303"/>
    <w:rsid w:val="00B30BED"/>
    <w:rsid w:val="00B47FD1"/>
    <w:rsid w:val="00B516BB"/>
    <w:rsid w:val="00B52DF8"/>
    <w:rsid w:val="00B564F1"/>
    <w:rsid w:val="00B606E6"/>
    <w:rsid w:val="00B613C9"/>
    <w:rsid w:val="00B63570"/>
    <w:rsid w:val="00B65BB9"/>
    <w:rsid w:val="00B671EB"/>
    <w:rsid w:val="00B7538C"/>
    <w:rsid w:val="00B80709"/>
    <w:rsid w:val="00B823AB"/>
    <w:rsid w:val="00B84C88"/>
    <w:rsid w:val="00B84DB2"/>
    <w:rsid w:val="00B91E91"/>
    <w:rsid w:val="00BA7A54"/>
    <w:rsid w:val="00BA7ECA"/>
    <w:rsid w:val="00BC048A"/>
    <w:rsid w:val="00BC3555"/>
    <w:rsid w:val="00BD0BAC"/>
    <w:rsid w:val="00BE0BE2"/>
    <w:rsid w:val="00BF0D51"/>
    <w:rsid w:val="00BF1BF2"/>
    <w:rsid w:val="00BF7857"/>
    <w:rsid w:val="00C02176"/>
    <w:rsid w:val="00C03295"/>
    <w:rsid w:val="00C034EE"/>
    <w:rsid w:val="00C04CE3"/>
    <w:rsid w:val="00C04F55"/>
    <w:rsid w:val="00C0589C"/>
    <w:rsid w:val="00C10B86"/>
    <w:rsid w:val="00C12B51"/>
    <w:rsid w:val="00C24650"/>
    <w:rsid w:val="00C25465"/>
    <w:rsid w:val="00C26E38"/>
    <w:rsid w:val="00C27F0E"/>
    <w:rsid w:val="00C3295F"/>
    <w:rsid w:val="00C33079"/>
    <w:rsid w:val="00C346DC"/>
    <w:rsid w:val="00C412EF"/>
    <w:rsid w:val="00C43BA0"/>
    <w:rsid w:val="00C43FF6"/>
    <w:rsid w:val="00C51ADC"/>
    <w:rsid w:val="00C53D1A"/>
    <w:rsid w:val="00C55A12"/>
    <w:rsid w:val="00C644EC"/>
    <w:rsid w:val="00C6553E"/>
    <w:rsid w:val="00C83A13"/>
    <w:rsid w:val="00C86F10"/>
    <w:rsid w:val="00C9068C"/>
    <w:rsid w:val="00C913B5"/>
    <w:rsid w:val="00C92967"/>
    <w:rsid w:val="00C93EF3"/>
    <w:rsid w:val="00CA3D0C"/>
    <w:rsid w:val="00CA654B"/>
    <w:rsid w:val="00CA70F7"/>
    <w:rsid w:val="00CB715C"/>
    <w:rsid w:val="00CB72B8"/>
    <w:rsid w:val="00CC23FF"/>
    <w:rsid w:val="00CD0BA8"/>
    <w:rsid w:val="00CD228E"/>
    <w:rsid w:val="00CD3A99"/>
    <w:rsid w:val="00CD4C7B"/>
    <w:rsid w:val="00CD58FE"/>
    <w:rsid w:val="00CD5A74"/>
    <w:rsid w:val="00CE5167"/>
    <w:rsid w:val="00CF442F"/>
    <w:rsid w:val="00D06904"/>
    <w:rsid w:val="00D20C99"/>
    <w:rsid w:val="00D23EE4"/>
    <w:rsid w:val="00D30696"/>
    <w:rsid w:val="00D32413"/>
    <w:rsid w:val="00D33BE3"/>
    <w:rsid w:val="00D3792D"/>
    <w:rsid w:val="00D41903"/>
    <w:rsid w:val="00D4196A"/>
    <w:rsid w:val="00D45966"/>
    <w:rsid w:val="00D50DA1"/>
    <w:rsid w:val="00D5214A"/>
    <w:rsid w:val="00D55E47"/>
    <w:rsid w:val="00D6046F"/>
    <w:rsid w:val="00D62E19"/>
    <w:rsid w:val="00D676C4"/>
    <w:rsid w:val="00D67CD1"/>
    <w:rsid w:val="00D73482"/>
    <w:rsid w:val="00D738D6"/>
    <w:rsid w:val="00D76824"/>
    <w:rsid w:val="00D80795"/>
    <w:rsid w:val="00D82495"/>
    <w:rsid w:val="00D854BE"/>
    <w:rsid w:val="00D85F34"/>
    <w:rsid w:val="00D87E00"/>
    <w:rsid w:val="00D87F7C"/>
    <w:rsid w:val="00D9134D"/>
    <w:rsid w:val="00D961D6"/>
    <w:rsid w:val="00D96D11"/>
    <w:rsid w:val="00DA5772"/>
    <w:rsid w:val="00DA7A03"/>
    <w:rsid w:val="00DB0DB8"/>
    <w:rsid w:val="00DB1818"/>
    <w:rsid w:val="00DB4270"/>
    <w:rsid w:val="00DC309B"/>
    <w:rsid w:val="00DC4DA2"/>
    <w:rsid w:val="00DC5261"/>
    <w:rsid w:val="00DD3B96"/>
    <w:rsid w:val="00DE25D2"/>
    <w:rsid w:val="00E008B2"/>
    <w:rsid w:val="00E01E55"/>
    <w:rsid w:val="00E02374"/>
    <w:rsid w:val="00E25058"/>
    <w:rsid w:val="00E27C78"/>
    <w:rsid w:val="00E27CC1"/>
    <w:rsid w:val="00E409A3"/>
    <w:rsid w:val="00E44331"/>
    <w:rsid w:val="00E45A1B"/>
    <w:rsid w:val="00E46C08"/>
    <w:rsid w:val="00E471CF"/>
    <w:rsid w:val="00E53218"/>
    <w:rsid w:val="00E62835"/>
    <w:rsid w:val="00E63315"/>
    <w:rsid w:val="00E65CB7"/>
    <w:rsid w:val="00E728BA"/>
    <w:rsid w:val="00E76B59"/>
    <w:rsid w:val="00E77645"/>
    <w:rsid w:val="00E83697"/>
    <w:rsid w:val="00E859B6"/>
    <w:rsid w:val="00E86F4A"/>
    <w:rsid w:val="00E87C56"/>
    <w:rsid w:val="00E906B6"/>
    <w:rsid w:val="00EA66C9"/>
    <w:rsid w:val="00EB6AC0"/>
    <w:rsid w:val="00EC0071"/>
    <w:rsid w:val="00EC4A25"/>
    <w:rsid w:val="00ED0C67"/>
    <w:rsid w:val="00EE492D"/>
    <w:rsid w:val="00EF612C"/>
    <w:rsid w:val="00F025A2"/>
    <w:rsid w:val="00F036E9"/>
    <w:rsid w:val="00F07388"/>
    <w:rsid w:val="00F2026E"/>
    <w:rsid w:val="00F2210A"/>
    <w:rsid w:val="00F23E2E"/>
    <w:rsid w:val="00F31372"/>
    <w:rsid w:val="00F34246"/>
    <w:rsid w:val="00F37743"/>
    <w:rsid w:val="00F44306"/>
    <w:rsid w:val="00F45ECB"/>
    <w:rsid w:val="00F4651A"/>
    <w:rsid w:val="00F500B1"/>
    <w:rsid w:val="00F54A3D"/>
    <w:rsid w:val="00F54CB0"/>
    <w:rsid w:val="00F579CD"/>
    <w:rsid w:val="00F619FA"/>
    <w:rsid w:val="00F653B8"/>
    <w:rsid w:val="00F677F9"/>
    <w:rsid w:val="00F71B89"/>
    <w:rsid w:val="00F73216"/>
    <w:rsid w:val="00F7353C"/>
    <w:rsid w:val="00F76F8F"/>
    <w:rsid w:val="00F824F7"/>
    <w:rsid w:val="00F851CD"/>
    <w:rsid w:val="00F90EDB"/>
    <w:rsid w:val="00F941DF"/>
    <w:rsid w:val="00FA1266"/>
    <w:rsid w:val="00FA5601"/>
    <w:rsid w:val="00FA5871"/>
    <w:rsid w:val="00FA61D2"/>
    <w:rsid w:val="00FB36FA"/>
    <w:rsid w:val="00FB6CA3"/>
    <w:rsid w:val="00FC051E"/>
    <w:rsid w:val="00FC1192"/>
    <w:rsid w:val="00FE0940"/>
    <w:rsid w:val="00FE106D"/>
    <w:rsid w:val="00FE2157"/>
    <w:rsid w:val="00FE251B"/>
    <w:rsid w:val="00FF306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DDB32103-4D1A-4517-B794-78A53F32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A5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A57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A5772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DA577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FA61D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A61D2"/>
    <w:rPr>
      <w:rFonts w:ascii="Arial" w:hAnsi="Arial"/>
      <w:b/>
      <w:lang w:eastAsia="en-US"/>
    </w:rPr>
  </w:style>
  <w:style w:type="character" w:customStyle="1" w:styleId="TALChar">
    <w:name w:val="TAL Char"/>
    <w:qFormat/>
    <w:rsid w:val="00CD228E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CD228E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02176"/>
    <w:rPr>
      <w:lang w:eastAsia="en-US"/>
    </w:rPr>
  </w:style>
  <w:style w:type="paragraph" w:styleId="ListParagraph">
    <w:name w:val="List Paragraph"/>
    <w:basedOn w:val="Normal"/>
    <w:uiPriority w:val="34"/>
    <w:qFormat/>
    <w:rsid w:val="006614D1"/>
    <w:pPr>
      <w:ind w:left="720"/>
      <w:contextualSpacing/>
    </w:pPr>
  </w:style>
  <w:style w:type="character" w:styleId="CommentReference">
    <w:name w:val="annotation reference"/>
    <w:basedOn w:val="DefaultParagraphFont"/>
    <w:rsid w:val="00D824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2495"/>
  </w:style>
  <w:style w:type="character" w:customStyle="1" w:styleId="CommentTextChar">
    <w:name w:val="Comment Text Char"/>
    <w:basedOn w:val="DefaultParagraphFont"/>
    <w:link w:val="CommentText"/>
    <w:rsid w:val="00D824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2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24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5AIRPNAIUNRU-859666464-9435</_dlc_DocId>
    <_dlc_DocIdUrl xmlns="71c5aaf6-e6ce-465b-b873-5148d2a4c105">
      <Url>https://nokia.sharepoint.com/sites/c5g/e2earch/_layouts/15/DocIdRedir.aspx?ID=5AIRPNAIUNRU-859666464-9435</Url>
      <Description>5AIRPNAIUNRU-859666464-9435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3840f4f-04be-43d1-b2ef-6ff1382503c7"/>
    <ds:schemaRef ds:uri="http://schemas.microsoft.com/office/infopath/2007/PartnerControls"/>
    <ds:schemaRef ds:uri="http://purl.org/dc/terms/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09C7DB-8B91-4A70-86A2-00711CA54DF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2021-08-06T01:05:00Z</dcterms:created>
  <dcterms:modified xsi:type="dcterms:W3CDTF">2021-08-06T01:05:00Z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86864fd9-9d75-4a51-8811-60be37142414</vt:lpwstr>
  </property>
</Properties>
</file>